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6D2" w:rsidRPr="00DC36D2" w:rsidRDefault="00DC36D2" w:rsidP="00DC36D2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bCs/>
          <w:caps/>
          <w:color w:val="000000"/>
          <w:sz w:val="28"/>
          <w:szCs w:val="28"/>
          <w:bdr w:val="none" w:sz="0" w:space="0" w:color="auto" w:frame="1"/>
        </w:rPr>
      </w:pPr>
      <w:r w:rsidRPr="00DC36D2"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  <w:shd w:val="clear" w:color="auto" w:fill="FFFFFF"/>
        </w:rPr>
        <w:t>Религиозная организация</w:t>
      </w:r>
      <w:r w:rsidRPr="00DC36D2">
        <w:rPr>
          <w:rStyle w:val="apple-converted-space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C36D2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bdr w:val="none" w:sz="0" w:space="0" w:color="auto" w:frame="1"/>
        </w:rPr>
        <w:t>– духовная образовательная организация высшего образования</w:t>
      </w:r>
      <w:r w:rsidRPr="00DC36D2">
        <w:rPr>
          <w:rStyle w:val="apple-converted-space"/>
          <w:rFonts w:ascii="Times New Roman" w:hAnsi="Times New Roman" w:cs="Times New Roman"/>
          <w:b/>
          <w:bCs/>
          <w:cap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  <w:r w:rsidRPr="00DC36D2"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  <w:t xml:space="preserve">«Смоленская Православная Духовная Семинария </w:t>
      </w: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  <w:r w:rsidRPr="00DC36D2"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  <w:t>См</w:t>
      </w:r>
      <w:r w:rsidRPr="00DC36D2"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  <w:t>о</w:t>
      </w:r>
      <w:r w:rsidRPr="00DC36D2"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  <w:t>ленской Епархии Русской Православной Церкви»</w:t>
      </w: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DC36D2" w:rsidRPr="00DC36D2" w:rsidTr="001639C9">
        <w:tc>
          <w:tcPr>
            <w:tcW w:w="4926" w:type="dxa"/>
            <w:shd w:val="clear" w:color="auto" w:fill="auto"/>
          </w:tcPr>
          <w:p w:rsidR="00DC36D2" w:rsidRPr="00DC36D2" w:rsidRDefault="00DC36D2" w:rsidP="00DC36D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Принято решением Ученого совета</w:t>
            </w:r>
          </w:p>
          <w:p w:rsidR="00DC36D2" w:rsidRPr="00DC36D2" w:rsidRDefault="00DC36D2" w:rsidP="00DC36D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протокол № _______ от ____________</w:t>
            </w:r>
          </w:p>
        </w:tc>
        <w:tc>
          <w:tcPr>
            <w:tcW w:w="4927" w:type="dxa"/>
            <w:shd w:val="clear" w:color="auto" w:fill="auto"/>
          </w:tcPr>
          <w:p w:rsidR="00DC36D2" w:rsidRPr="00DC36D2" w:rsidRDefault="00DC36D2" w:rsidP="00DC36D2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Утверждено приказом</w:t>
            </w:r>
          </w:p>
          <w:p w:rsidR="00DC36D2" w:rsidRPr="00DC36D2" w:rsidRDefault="00DC36D2" w:rsidP="00DC36D2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№ _________ от _______________</w:t>
            </w:r>
          </w:p>
          <w:p w:rsidR="00DC36D2" w:rsidRPr="00DC36D2" w:rsidRDefault="00DC36D2" w:rsidP="00DC36D2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Ректор Смоленской Православной</w:t>
            </w:r>
          </w:p>
          <w:p w:rsidR="00DC36D2" w:rsidRPr="00DC36D2" w:rsidRDefault="00DC36D2" w:rsidP="00DC36D2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Духовной Семинарии</w:t>
            </w:r>
          </w:p>
          <w:p w:rsidR="00DC36D2" w:rsidRPr="00DC36D2" w:rsidRDefault="00DC36D2" w:rsidP="00DC36D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DC36D2"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  <w:t>________________ Урбанович Ю.Я.</w:t>
            </w:r>
          </w:p>
        </w:tc>
      </w:tr>
    </w:tbl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Style w:val="ab"/>
          <w:rFonts w:ascii="Times New Roman" w:hAnsi="Times New Roman" w:cs="Times New Roman"/>
          <w:caps/>
          <w:color w:val="000000"/>
          <w:sz w:val="28"/>
          <w:szCs w:val="28"/>
          <w:bdr w:val="none" w:sz="0" w:space="0" w:color="auto" w:frame="1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C36D2" w:rsidRPr="00DC36D2" w:rsidRDefault="00DC36D2" w:rsidP="00DC36D2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C36D2" w:rsidRPr="00DC36D2" w:rsidRDefault="00DC36D2" w:rsidP="00DC36D2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36D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ВЫПУСКНОЙ КВАЛИФИКАЦИОННОЙ</w:t>
      </w:r>
      <w:r w:rsidRPr="00DC36D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РАБОТЕ</w:t>
      </w:r>
    </w:p>
    <w:p w:rsidR="00DC36D2" w:rsidRPr="00DC36D2" w:rsidRDefault="00DC36D2" w:rsidP="00DC36D2">
      <w:pPr>
        <w:pStyle w:val="1"/>
        <w:spacing w:before="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C36D2" w:rsidRDefault="00DC36D2">
      <w:pPr>
        <w:spacing w:after="0" w:line="240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29F9" w:rsidRPr="00DE53F1" w:rsidRDefault="007C29F9" w:rsidP="007C29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>. Выпускная квалификационная работа. Общие положения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1.Выпускная квалификационная работа выполняется студентами заключительного курса очного и заочного отделений семинарии и является необходимым условием для получения ими диплома.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2.Выпускная работа выполняется студентами под руководством преподавателя, имеющего опыт педагогической и научной работы. Научный руководитель назначается и утверждается на заседании Ученого совета семинарии.</w:t>
      </w:r>
      <w:r w:rsidRPr="00DE53F1">
        <w:rPr>
          <w:rFonts w:ascii="Times New Roman" w:hAnsi="Times New Roman" w:cs="Times New Roman"/>
          <w:sz w:val="28"/>
          <w:szCs w:val="28"/>
        </w:rPr>
        <w:t xml:space="preserve"> Научное руководство выпускной квалификационной работой осуществляют преподаватели семинарии, но в порядке исключения к руководству выпускной работы могут привлекаться высококвалифицированные специалисты других учреждений образования, науки или органов государственного управления.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DE53F1">
        <w:rPr>
          <w:rFonts w:ascii="Times New Roman" w:hAnsi="Times New Roman" w:cs="Times New Roman"/>
          <w:sz w:val="28"/>
          <w:szCs w:val="28"/>
        </w:rPr>
        <w:t xml:space="preserve">В обязанности научного руководителя входит: 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составление и выдача задания на выпускную квалификационную работу;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оказание помощи студенту в разработке календарного плана-графика на весь период выполнения исследования;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рекомендация основной и дополнительной литературы, справочных и архивных материалов и других источников по теме выпускной квалификационной работы; 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проведение систематических собеседований и консультаций со студентом, контроль результатов выполнения отдельных этапов; 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контроль хода выполнения выпускной квалификационной работы вплоть до ее защиты; 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заключительная проверка работы и подготовка развернутого письменного отзыва на выпускную квалификационную работу; 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участие в заседании Государственной экзаменационной комиссии по защите выпускной квалификационной работы;</w:t>
      </w:r>
    </w:p>
    <w:p w:rsidR="007C29F9" w:rsidRPr="00DE53F1" w:rsidRDefault="007C29F9" w:rsidP="007C29F9">
      <w:pPr>
        <w:numPr>
          <w:ilvl w:val="0"/>
          <w:numId w:val="1"/>
        </w:numPr>
        <w:tabs>
          <w:tab w:val="clear" w:pos="1004"/>
          <w:tab w:val="num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в исключительных случаях, обусловленных невозможностью по объективным причинам выполнять свои функции, возможна замена научного руководителя выпускной работы. Решение о замене научного руководителя может быть принято Ученым советом не позднее </w:t>
      </w:r>
      <w:r w:rsidRPr="00DE53F1">
        <w:rPr>
          <w:rFonts w:ascii="Times New Roman" w:hAnsi="Times New Roman" w:cs="Times New Roman"/>
          <w:iCs/>
          <w:sz w:val="28"/>
          <w:szCs w:val="28"/>
        </w:rPr>
        <w:t>15 января</w:t>
      </w:r>
      <w:r w:rsidRPr="00DE53F1">
        <w:rPr>
          <w:rFonts w:ascii="Times New Roman" w:hAnsi="Times New Roman" w:cs="Times New Roman"/>
          <w:sz w:val="28"/>
          <w:szCs w:val="28"/>
        </w:rPr>
        <w:t xml:space="preserve"> текущего года обучения.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Темы выпускных квалификационных работ предлагаются научным руководителем, а </w:t>
      </w:r>
      <w:r w:rsidRPr="00CA36E0">
        <w:rPr>
          <w:rFonts w:ascii="Times New Roman" w:hAnsi="Times New Roman" w:cs="Times New Roman"/>
          <w:bCs/>
          <w:sz w:val="28"/>
          <w:szCs w:val="28"/>
        </w:rPr>
        <w:t>также могут предлагаться студентом. Темы выпускных квалификационных работ ежегодно до 1 октября текущего учебного года обсуждаются на заседании Учёного совета духовной образовательной организации и утверждаются приказом ректора. Закрепление одной из утвержденных тем выпускной работы (или темы,</w:t>
      </w: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предложенной самим студентом) за конкретным студентом осуществляется на основании поданного прошения, после согласования с научным руководителем.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>5. Написание выпускной работы проходит под наблюдением научного руководителя. Студент обязан встречаться с научным руководителем согласно установленному календарному графику консультаций.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sz w:val="28"/>
          <w:szCs w:val="28"/>
        </w:rPr>
        <w:lastRenderedPageBreak/>
        <w:t>6. Для защиты выпускной квалификационной работы назначается рецензент. К рецензированию привлекаются преподаватели Семинарии, специалисты из числа работодателей, преподавателей других организаций, хорошо владеющих вопросами, связанными с тематикой ВКР. Для проведения защиты необходим окончательный вариант текста работы (подается в учебную часть в соответствии с установленным графиком), отзыв научного</w:t>
      </w: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руководителя и отзыв рецензента с указанием оценки выполненной работы. Защита проводится публично в присутствии научного руководителя, рецензента и членов Государственной экзаменационной комиссии.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>7. К защите выпускной квалификационной работы допускаются студенты, успешно окончившие курс обучения в семинарии.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>8. График защит выпускных работ утверждается на Ученом совете семинарии, в соответствии со сроками завершения учебного года.</w:t>
      </w:r>
    </w:p>
    <w:p w:rsid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36E0">
        <w:rPr>
          <w:rFonts w:ascii="Times New Roman" w:hAnsi="Times New Roman" w:cs="Times New Roman"/>
          <w:bCs/>
          <w:color w:val="000000"/>
          <w:sz w:val="28"/>
          <w:szCs w:val="28"/>
        </w:rPr>
        <w:t>9. Этапы подготовки выпускной квалификационной работы:</w:t>
      </w: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9"/>
        <w:gridCol w:w="2276"/>
        <w:gridCol w:w="2566"/>
      </w:tblGrid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Выбор, утверждение темы ВКР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до 1 октября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проректор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Выдача заданий и формирование индивидуального календарного графика выполнения ВКР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до 1 октября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Предзащита ВКР на кафедре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за месяц до процедуры защиты ВКР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Представление ВКР для написания отзыва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за 14 дней до защиты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Представление ВКР для написания рецензии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не позднее 14 дней до защиты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Сдача ВРК в печатном виде и на электронном носителе с отзывом науч. руководителя и рецензией на кафедру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не позднее 7 дней до процедуры защиты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Передача ВКР, выписки о допуске к защите из заседания кафедры, отзыва н/р, рецензии в отдел по УМР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5 дней до защиты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DC36D2" w:rsidRPr="00CA36E0" w:rsidTr="00DC36D2">
        <w:tc>
          <w:tcPr>
            <w:tcW w:w="3729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Прием защиты ВКР у выпускников</w:t>
            </w:r>
          </w:p>
        </w:tc>
        <w:tc>
          <w:tcPr>
            <w:tcW w:w="227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Согласно утвержденному графику</w:t>
            </w:r>
          </w:p>
        </w:tc>
        <w:tc>
          <w:tcPr>
            <w:tcW w:w="2566" w:type="dxa"/>
            <w:shd w:val="clear" w:color="auto" w:fill="auto"/>
          </w:tcPr>
          <w:p w:rsidR="00DC36D2" w:rsidRPr="00CA36E0" w:rsidRDefault="00DC36D2" w:rsidP="00CA3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E0">
              <w:rPr>
                <w:rFonts w:ascii="Times New Roman" w:hAnsi="Times New Roman" w:cs="Times New Roman"/>
                <w:sz w:val="28"/>
                <w:szCs w:val="28"/>
              </w:rPr>
              <w:t>ГЭК</w:t>
            </w:r>
          </w:p>
        </w:tc>
      </w:tr>
    </w:tbl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36E0" w:rsidRPr="00CA36E0" w:rsidRDefault="00CA36E0" w:rsidP="00CA36E0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36E0">
        <w:rPr>
          <w:rFonts w:ascii="Times New Roman" w:hAnsi="Times New Roman" w:cs="Times New Roman"/>
          <w:bCs/>
          <w:sz w:val="28"/>
          <w:szCs w:val="28"/>
        </w:rPr>
        <w:t xml:space="preserve">10. Рекомендуемый объем выпускной работы – 60 – 70 страниц печатного текста. Работа, допущенная к защите, предоставляется на кафедру в </w:t>
      </w:r>
      <w:r w:rsidRPr="00CA36E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одном экземпляре в переплетенном виде (а также в электронной версии на </w:t>
      </w:r>
      <w:r w:rsidRPr="00CA36E0">
        <w:rPr>
          <w:rFonts w:ascii="Times New Roman" w:hAnsi="Times New Roman" w:cs="Times New Roman"/>
          <w:bCs/>
          <w:sz w:val="28"/>
          <w:szCs w:val="28"/>
          <w:lang w:val="en-US"/>
        </w:rPr>
        <w:t>CD</w:t>
      </w:r>
      <w:r w:rsidRPr="00CA36E0">
        <w:rPr>
          <w:rFonts w:ascii="Times New Roman" w:hAnsi="Times New Roman" w:cs="Times New Roman"/>
          <w:bCs/>
          <w:sz w:val="28"/>
          <w:szCs w:val="28"/>
        </w:rPr>
        <w:t>-диске) с отзывом научного руководителя в указанные сроки.</w:t>
      </w:r>
    </w:p>
    <w:p w:rsidR="00CA36E0" w:rsidRPr="00CA36E0" w:rsidRDefault="00CA36E0" w:rsidP="00CA36E0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A36E0">
        <w:rPr>
          <w:bCs/>
          <w:sz w:val="28"/>
          <w:szCs w:val="28"/>
        </w:rPr>
        <w:t>11. Выпускные квалификационные работы подлежат рецензированию и размещению в</w:t>
      </w:r>
      <w:r w:rsidRPr="00CA36E0">
        <w:rPr>
          <w:b/>
          <w:bCs/>
          <w:sz w:val="28"/>
          <w:szCs w:val="28"/>
        </w:rPr>
        <w:t xml:space="preserve"> </w:t>
      </w:r>
      <w:r w:rsidRPr="00CA36E0">
        <w:rPr>
          <w:bCs/>
          <w:sz w:val="28"/>
          <w:szCs w:val="28"/>
        </w:rPr>
        <w:t>электронно-библиотечной системе и проверке на объём заимствований. Порядок размещения выпускных квалификационных работ в электронно-библиотечной системе Семинарии, проверки на объём заимствования, в том числе содержательного, выявления неправомочных заимствований устанавливается образовательной организацией (см. Порядок).</w:t>
      </w:r>
    </w:p>
    <w:p w:rsidR="007C29F9" w:rsidRPr="00CA36E0" w:rsidRDefault="007C29F9" w:rsidP="00CA36E0">
      <w:pPr>
        <w:pStyle w:val="a9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DE53F1">
        <w:rPr>
          <w:b/>
          <w:bCs/>
          <w:sz w:val="28"/>
          <w:szCs w:val="28"/>
        </w:rPr>
        <w:t>. Защита выпускной квалификационной работы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E53F1">
        <w:rPr>
          <w:bCs/>
          <w:sz w:val="28"/>
          <w:szCs w:val="28"/>
        </w:rPr>
        <w:t xml:space="preserve">1. Защита работы проводится по графику, утвержденному на Ученом совете семинарии. Выпускная квалификационная работа должна быть представлена в оформленном по всем требованиям виде с отзывом научного руководителя. 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E53F1">
        <w:rPr>
          <w:bCs/>
          <w:sz w:val="28"/>
          <w:szCs w:val="28"/>
        </w:rPr>
        <w:t>2. На защите обязательно присутствие научного руководителя. Защита проводится публично.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E53F1">
        <w:rPr>
          <w:bCs/>
          <w:sz w:val="28"/>
          <w:szCs w:val="28"/>
        </w:rPr>
        <w:t>3. Порядок защиты: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– выступление автора работы, в котором он должен дать характеристику содержания своего исследования и сообщить полученные результаты в следующем порядке: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а) тема выпускной работы, обоснование ее актуальности, объект и предмет исследования, цель, задачи и методы исследования;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б) структура выпускной квалификационной работы, содержание основных разделов, выводы по главам, общие результаты;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 xml:space="preserve">в) теоретическая и практическая значимость полученных результатов и область их возможного применения;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г) обзор перспектив дальнейшего изучения проблемы, поставленной в работе; наличие нерешенных дискуссионных вопросов, нуждающихся в дальнейшем исследовании и введении новых источников, а также в расширении фактографической базы (всего – 10 минут).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– отзыв научного руководителя, содержащий краткую характеристику дипломной работы и ее результатов, а также рекомендуемую оценку (5 минут).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– при наличии вопросов и замечаний в отзыве – ответы автора выпускной работы (в течение 3 минут).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 xml:space="preserve">– отзыв официального рецензента (оппонента), содержащий развернутую характеристику выпускной работы с указанием ее достоинств, недостатков и рекомендуемой оценкой.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– ответы студента на замечания рецензента (5 минут).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– вопросы присутствующих по содержанию защищаемой работы (ответы – по 2 – 3 минуты).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 xml:space="preserve">4. По окончании защиты всех работ, запланированных на определенный день, проходит закрытое совещание Государственной экзаменационной комиссии с выставлением отметок. Затем результаты (отметки) оглашаются экзаменуемым.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E53F1">
        <w:rPr>
          <w:bCs/>
          <w:sz w:val="28"/>
          <w:szCs w:val="28"/>
        </w:rPr>
        <w:lastRenderedPageBreak/>
        <w:t>5. Результаты защиты работы каждого студента заносятся в протокол, утвержденный подписями председателя и членов государственной экзаменационной комиссии и секретаря ГЭК. Тексты выпускных квалификационных работ (с отзывом научного руководителя и рецензией (оппонента) регистрируются в специальной книге, нумеруются и сдаются в архив на хранение.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7C29F9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DE53F1">
        <w:rPr>
          <w:b/>
          <w:bCs/>
          <w:sz w:val="28"/>
          <w:szCs w:val="28"/>
        </w:rPr>
        <w:t>. Требования</w:t>
      </w:r>
      <w:r>
        <w:rPr>
          <w:b/>
          <w:bCs/>
          <w:sz w:val="28"/>
          <w:szCs w:val="28"/>
        </w:rPr>
        <w:t xml:space="preserve"> к структуре и содержанию работ</w:t>
      </w:r>
      <w:r w:rsidRPr="00DE53F1">
        <w:rPr>
          <w:b/>
          <w:bCs/>
          <w:sz w:val="28"/>
          <w:szCs w:val="28"/>
        </w:rPr>
        <w:t xml:space="preserve">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DE53F1">
        <w:rPr>
          <w:b/>
          <w:bCs/>
          <w:sz w:val="28"/>
          <w:szCs w:val="28"/>
        </w:rPr>
        <w:t>Методические рекомендации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1. Курсовая и выпускная квалификационная работы должны иметь следующую структуру: </w:t>
      </w:r>
      <w:r w:rsidRPr="00DE53F1">
        <w:rPr>
          <w:b/>
          <w:sz w:val="28"/>
          <w:szCs w:val="28"/>
        </w:rPr>
        <w:t>Введение</w:t>
      </w:r>
      <w:r w:rsidRPr="00DE53F1">
        <w:rPr>
          <w:sz w:val="28"/>
          <w:szCs w:val="28"/>
        </w:rPr>
        <w:t xml:space="preserve">, </w:t>
      </w:r>
      <w:r w:rsidRPr="00DE53F1">
        <w:rPr>
          <w:b/>
          <w:sz w:val="28"/>
          <w:szCs w:val="28"/>
        </w:rPr>
        <w:t>Основная часть</w:t>
      </w:r>
      <w:r w:rsidRPr="00DE53F1">
        <w:rPr>
          <w:sz w:val="28"/>
          <w:szCs w:val="28"/>
        </w:rPr>
        <w:t xml:space="preserve">, </w:t>
      </w:r>
      <w:r w:rsidRPr="00DE53F1">
        <w:rPr>
          <w:b/>
          <w:sz w:val="28"/>
          <w:szCs w:val="28"/>
        </w:rPr>
        <w:t>Заключение</w:t>
      </w:r>
      <w:r w:rsidRPr="00DE53F1">
        <w:rPr>
          <w:sz w:val="28"/>
          <w:szCs w:val="28"/>
        </w:rPr>
        <w:t xml:space="preserve">, </w:t>
      </w:r>
      <w:r w:rsidRPr="00DE53F1">
        <w:rPr>
          <w:b/>
          <w:sz w:val="28"/>
          <w:szCs w:val="28"/>
        </w:rPr>
        <w:t>Список</w:t>
      </w:r>
      <w:r w:rsidRPr="00DE53F1">
        <w:rPr>
          <w:sz w:val="28"/>
          <w:szCs w:val="28"/>
        </w:rPr>
        <w:t xml:space="preserve"> </w:t>
      </w:r>
      <w:r w:rsidRPr="00DE53F1">
        <w:rPr>
          <w:b/>
          <w:sz w:val="28"/>
          <w:szCs w:val="28"/>
        </w:rPr>
        <w:t>литературы</w:t>
      </w:r>
      <w:r w:rsidRPr="00DE53F1">
        <w:rPr>
          <w:sz w:val="28"/>
          <w:szCs w:val="28"/>
        </w:rPr>
        <w:t xml:space="preserve">, </w:t>
      </w:r>
      <w:r w:rsidRPr="00DE53F1">
        <w:rPr>
          <w:b/>
          <w:sz w:val="28"/>
          <w:szCs w:val="28"/>
        </w:rPr>
        <w:t>Приложение</w:t>
      </w:r>
      <w:r w:rsidRPr="00DE53F1">
        <w:rPr>
          <w:sz w:val="28"/>
          <w:szCs w:val="28"/>
        </w:rPr>
        <w:t xml:space="preserve"> (при необходимости).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2. Введение должно составлять 3–4 страницы для курсовой работы и 3–5 страниц для выпускной квалификационной работы. Структура </w:t>
      </w:r>
      <w:r w:rsidRPr="00DE53F1">
        <w:rPr>
          <w:b/>
          <w:sz w:val="28"/>
          <w:szCs w:val="28"/>
        </w:rPr>
        <w:t>Введения</w:t>
      </w:r>
      <w:r w:rsidRPr="00DE53F1">
        <w:rPr>
          <w:sz w:val="28"/>
          <w:szCs w:val="28"/>
        </w:rPr>
        <w:t>: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обоснование выбора </w:t>
      </w:r>
      <w:r w:rsidRPr="00DE53F1">
        <w:rPr>
          <w:rFonts w:ascii="Times New Roman" w:hAnsi="Times New Roman" w:cs="Times New Roman"/>
          <w:iCs/>
          <w:sz w:val="28"/>
          <w:szCs w:val="28"/>
        </w:rPr>
        <w:t>темы</w:t>
      </w:r>
      <w:r w:rsidRPr="00DE53F1">
        <w:rPr>
          <w:rFonts w:ascii="Times New Roman" w:hAnsi="Times New Roman" w:cs="Times New Roman"/>
          <w:sz w:val="28"/>
          <w:szCs w:val="28"/>
        </w:rPr>
        <w:t xml:space="preserve">, </w:t>
      </w:r>
      <w:r w:rsidRPr="00DE53F1">
        <w:rPr>
          <w:rFonts w:ascii="Times New Roman" w:hAnsi="Times New Roman" w:cs="Times New Roman"/>
          <w:iCs/>
          <w:sz w:val="28"/>
          <w:szCs w:val="28"/>
        </w:rPr>
        <w:t>актуальности исследования</w:t>
      </w:r>
      <w:r w:rsidRPr="00DE53F1">
        <w:rPr>
          <w:rFonts w:ascii="Times New Roman" w:hAnsi="Times New Roman" w:cs="Times New Roman"/>
          <w:sz w:val="28"/>
          <w:szCs w:val="28"/>
        </w:rPr>
        <w:t>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– краткая характеристика основных аспектов изучаемой проблемы (может являться составной частью обоснования актуальности в случае, если данная характеристика доказывает новизну выбранных для исследования аспектов);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– обзор научных исследований по теме (может являться составной частью обоснования актуальности в случае, если обзор доказывает недостаточность исследований по данной теме);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Pr="00DE53F1">
        <w:rPr>
          <w:rFonts w:ascii="Times New Roman" w:hAnsi="Times New Roman" w:cs="Times New Roman"/>
          <w:iCs/>
          <w:sz w:val="28"/>
          <w:szCs w:val="28"/>
        </w:rPr>
        <w:t>объекта</w:t>
      </w:r>
      <w:r w:rsidRPr="00DE53F1">
        <w:rPr>
          <w:rFonts w:ascii="Times New Roman" w:hAnsi="Times New Roman" w:cs="Times New Roman"/>
          <w:sz w:val="28"/>
          <w:szCs w:val="28"/>
        </w:rPr>
        <w:t xml:space="preserve"> и </w:t>
      </w:r>
      <w:r w:rsidRPr="00DE53F1">
        <w:rPr>
          <w:rFonts w:ascii="Times New Roman" w:hAnsi="Times New Roman" w:cs="Times New Roman"/>
          <w:iCs/>
          <w:sz w:val="28"/>
          <w:szCs w:val="28"/>
        </w:rPr>
        <w:t>предмета</w:t>
      </w:r>
      <w:r w:rsidRPr="00DE53F1">
        <w:rPr>
          <w:rFonts w:ascii="Times New Roman" w:hAnsi="Times New Roman" w:cs="Times New Roman"/>
          <w:sz w:val="28"/>
          <w:szCs w:val="28"/>
        </w:rPr>
        <w:t xml:space="preserve"> исследования;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Pr="00DE53F1">
        <w:rPr>
          <w:rFonts w:ascii="Times New Roman" w:hAnsi="Times New Roman" w:cs="Times New Roman"/>
          <w:iCs/>
          <w:sz w:val="28"/>
          <w:szCs w:val="28"/>
        </w:rPr>
        <w:t>цели</w:t>
      </w:r>
      <w:r w:rsidRPr="00DE53F1">
        <w:rPr>
          <w:rFonts w:ascii="Times New Roman" w:hAnsi="Times New Roman" w:cs="Times New Roman"/>
          <w:sz w:val="28"/>
          <w:szCs w:val="28"/>
        </w:rPr>
        <w:t xml:space="preserve"> исследования и </w:t>
      </w:r>
      <w:r w:rsidRPr="00DE53F1">
        <w:rPr>
          <w:rFonts w:ascii="Times New Roman" w:hAnsi="Times New Roman" w:cs="Times New Roman"/>
          <w:iCs/>
          <w:sz w:val="28"/>
          <w:szCs w:val="28"/>
        </w:rPr>
        <w:t>задач</w:t>
      </w:r>
      <w:r w:rsidRPr="00DE53F1">
        <w:rPr>
          <w:rFonts w:ascii="Times New Roman" w:hAnsi="Times New Roman" w:cs="Times New Roman"/>
          <w:sz w:val="28"/>
          <w:szCs w:val="28"/>
        </w:rPr>
        <w:t>, которые необходимо решить для достижения поставленной цели;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изложение научной </w:t>
      </w:r>
      <w:r w:rsidRPr="00DE53F1">
        <w:rPr>
          <w:rFonts w:ascii="Times New Roman" w:hAnsi="Times New Roman" w:cs="Times New Roman"/>
          <w:iCs/>
          <w:sz w:val="28"/>
          <w:szCs w:val="28"/>
        </w:rPr>
        <w:t>гипотезы</w:t>
      </w:r>
      <w:r w:rsidRPr="00DE53F1">
        <w:rPr>
          <w:rFonts w:ascii="Times New Roman" w:hAnsi="Times New Roman" w:cs="Times New Roman"/>
          <w:sz w:val="28"/>
          <w:szCs w:val="28"/>
        </w:rPr>
        <w:t xml:space="preserve"> (не является обязательным элементом);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– перечисление используемых научно-исследовательских </w:t>
      </w:r>
      <w:r w:rsidRPr="00DE53F1">
        <w:rPr>
          <w:iCs/>
          <w:sz w:val="28"/>
          <w:szCs w:val="28"/>
        </w:rPr>
        <w:t>методов</w:t>
      </w:r>
      <w:r w:rsidRPr="00DE53F1">
        <w:rPr>
          <w:sz w:val="28"/>
          <w:szCs w:val="28"/>
        </w:rPr>
        <w:t>;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– указание материала исследования;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– указание </w:t>
      </w:r>
      <w:r w:rsidRPr="00DE53F1">
        <w:rPr>
          <w:iCs/>
          <w:sz w:val="28"/>
          <w:szCs w:val="28"/>
        </w:rPr>
        <w:t>научной</w:t>
      </w:r>
      <w:r w:rsidRPr="00DE53F1">
        <w:rPr>
          <w:sz w:val="28"/>
          <w:szCs w:val="28"/>
        </w:rPr>
        <w:t xml:space="preserve"> и </w:t>
      </w:r>
      <w:r w:rsidRPr="00DE53F1">
        <w:rPr>
          <w:iCs/>
          <w:sz w:val="28"/>
          <w:szCs w:val="28"/>
        </w:rPr>
        <w:t>практической</w:t>
      </w:r>
      <w:r w:rsidRPr="00DE53F1">
        <w:rPr>
          <w:i/>
          <w:iCs/>
          <w:sz w:val="28"/>
          <w:szCs w:val="28"/>
        </w:rPr>
        <w:t xml:space="preserve"> </w:t>
      </w:r>
      <w:r w:rsidRPr="00DE53F1">
        <w:rPr>
          <w:iCs/>
          <w:sz w:val="28"/>
          <w:szCs w:val="28"/>
        </w:rPr>
        <w:t>значимости</w:t>
      </w:r>
      <w:r w:rsidRPr="00DE53F1">
        <w:rPr>
          <w:sz w:val="28"/>
          <w:szCs w:val="28"/>
        </w:rPr>
        <w:t xml:space="preserve"> работы (если возможно);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– краткая характеристика структуры работы.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3. </w:t>
      </w:r>
      <w:r w:rsidRPr="00DE53F1">
        <w:rPr>
          <w:b/>
          <w:bCs/>
          <w:sz w:val="28"/>
          <w:szCs w:val="28"/>
        </w:rPr>
        <w:t xml:space="preserve">Объект </w:t>
      </w:r>
      <w:r w:rsidRPr="00DE53F1">
        <w:rPr>
          <w:sz w:val="28"/>
          <w:szCs w:val="28"/>
        </w:rPr>
        <w:t xml:space="preserve">исследования – часть объективной реальности, которая подвергается научному изучению. Определяя </w:t>
      </w:r>
      <w:r w:rsidRPr="00DE53F1">
        <w:rPr>
          <w:iCs/>
          <w:sz w:val="28"/>
          <w:szCs w:val="28"/>
        </w:rPr>
        <w:t>объект</w:t>
      </w:r>
      <w:r w:rsidRPr="00DE53F1">
        <w:rPr>
          <w:sz w:val="28"/>
          <w:szCs w:val="28"/>
        </w:rPr>
        <w:t xml:space="preserve"> исследования, нужно дать ответ на вопрос: </w:t>
      </w:r>
      <w:r w:rsidRPr="00DE53F1">
        <w:rPr>
          <w:b/>
          <w:bCs/>
          <w:sz w:val="28"/>
          <w:szCs w:val="28"/>
        </w:rPr>
        <w:t>что рассматривается в работе</w:t>
      </w:r>
      <w:r w:rsidRPr="00DE53F1">
        <w:rPr>
          <w:sz w:val="28"/>
          <w:szCs w:val="28"/>
        </w:rPr>
        <w:t xml:space="preserve">?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4. </w:t>
      </w:r>
      <w:r w:rsidRPr="00DE53F1">
        <w:rPr>
          <w:b/>
          <w:bCs/>
          <w:sz w:val="28"/>
          <w:szCs w:val="28"/>
        </w:rPr>
        <w:t xml:space="preserve">Предметом </w:t>
      </w:r>
      <w:r w:rsidRPr="00DE53F1">
        <w:rPr>
          <w:sz w:val="28"/>
          <w:szCs w:val="28"/>
        </w:rPr>
        <w:t xml:space="preserve">исследования могут быть конкретные разделы, свойства и характеристики объекта исследования. </w:t>
      </w:r>
      <w:r w:rsidRPr="00DE53F1">
        <w:rPr>
          <w:iCs/>
          <w:sz w:val="28"/>
          <w:szCs w:val="28"/>
        </w:rPr>
        <w:t>Предмет</w:t>
      </w:r>
      <w:r w:rsidRPr="00DE53F1">
        <w:rPr>
          <w:sz w:val="28"/>
          <w:szCs w:val="28"/>
        </w:rPr>
        <w:t xml:space="preserve"> обозначает аспект рассмотрения, даёт представление о том, </w:t>
      </w:r>
      <w:r w:rsidRPr="00DE53F1">
        <w:rPr>
          <w:b/>
          <w:bCs/>
          <w:sz w:val="28"/>
          <w:szCs w:val="28"/>
        </w:rPr>
        <w:t xml:space="preserve">как рассматривается </w:t>
      </w:r>
      <w:r w:rsidRPr="00DE53F1">
        <w:rPr>
          <w:iCs/>
          <w:sz w:val="28"/>
          <w:szCs w:val="28"/>
        </w:rPr>
        <w:t>объект</w:t>
      </w:r>
      <w:r w:rsidRPr="00DE53F1">
        <w:rPr>
          <w:sz w:val="28"/>
          <w:szCs w:val="28"/>
        </w:rPr>
        <w:t xml:space="preserve">, какие отношения, свойства, стороны и функции </w:t>
      </w:r>
      <w:r w:rsidRPr="00DE53F1">
        <w:rPr>
          <w:iCs/>
          <w:sz w:val="28"/>
          <w:szCs w:val="28"/>
        </w:rPr>
        <w:t>объекта</w:t>
      </w:r>
      <w:r w:rsidRPr="00DE53F1">
        <w:rPr>
          <w:sz w:val="28"/>
          <w:szCs w:val="28"/>
        </w:rPr>
        <w:t xml:space="preserve"> затронуты в работе. Как правило, предмет исследования содержится в теме работы.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5. </w:t>
      </w:r>
      <w:r w:rsidRPr="00DE53F1">
        <w:rPr>
          <w:b/>
          <w:bCs/>
          <w:sz w:val="28"/>
          <w:szCs w:val="28"/>
        </w:rPr>
        <w:t xml:space="preserve">Цель </w:t>
      </w:r>
      <w:r w:rsidRPr="00DE53F1">
        <w:rPr>
          <w:sz w:val="28"/>
          <w:szCs w:val="28"/>
        </w:rPr>
        <w:t xml:space="preserve">научной работы формулируется в соответствии с объектом и предметом исследования. При формулировке цели рекомендуется использовать отглагольные существительные: </w:t>
      </w:r>
      <w:r w:rsidRPr="00DE53F1">
        <w:rPr>
          <w:i/>
          <w:iCs/>
          <w:sz w:val="28"/>
          <w:szCs w:val="28"/>
        </w:rPr>
        <w:t>исследование, разработка, изучение, выявление, описание, рассмотрение, анализ</w:t>
      </w:r>
      <w:r w:rsidRPr="00DE53F1">
        <w:rPr>
          <w:sz w:val="28"/>
          <w:szCs w:val="28"/>
        </w:rPr>
        <w:t xml:space="preserve"> и др.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6. 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DE53F1">
        <w:rPr>
          <w:rFonts w:ascii="Times New Roman" w:hAnsi="Times New Roman" w:cs="Times New Roman"/>
          <w:sz w:val="28"/>
          <w:szCs w:val="28"/>
        </w:rPr>
        <w:t xml:space="preserve"> работы вытекают из её цели и связаны с частными вопросами, рассматриваемыми в исследовании. Задачи, как правило, соотносятся с параграфами работы и показывают этапы, последовательность исследования. </w:t>
      </w:r>
      <w:r w:rsidRPr="00DE53F1">
        <w:rPr>
          <w:rFonts w:ascii="Times New Roman" w:hAnsi="Times New Roman" w:cs="Times New Roman"/>
          <w:sz w:val="28"/>
          <w:szCs w:val="28"/>
        </w:rPr>
        <w:lastRenderedPageBreak/>
        <w:t xml:space="preserve">При перечислении задач обычно используются глаголы в начальной форме: </w:t>
      </w:r>
      <w:r w:rsidRPr="00DE53F1">
        <w:rPr>
          <w:rFonts w:ascii="Times New Roman" w:hAnsi="Times New Roman" w:cs="Times New Roman"/>
          <w:i/>
          <w:iCs/>
          <w:sz w:val="28"/>
          <w:szCs w:val="28"/>
        </w:rPr>
        <w:t xml:space="preserve">изучить, описать, установить, определить, выявить, разработать, проанализировать, рассмотреть, предложить </w:t>
      </w:r>
      <w:r w:rsidRPr="00DE53F1">
        <w:rPr>
          <w:rFonts w:ascii="Times New Roman" w:hAnsi="Times New Roman" w:cs="Times New Roman"/>
          <w:sz w:val="28"/>
          <w:szCs w:val="28"/>
        </w:rPr>
        <w:t>и т. д.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7. 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>Гипотеза</w:t>
      </w:r>
      <w:r w:rsidRPr="00DE53F1">
        <w:rPr>
          <w:rFonts w:ascii="Times New Roman" w:hAnsi="Times New Roman" w:cs="Times New Roman"/>
          <w:sz w:val="28"/>
          <w:szCs w:val="28"/>
        </w:rPr>
        <w:t xml:space="preserve"> – это совокупность теоретически обоснованных предположений, истинность которых подлежит проверке в предполагаемом исследовании. Это предположение о возможных конечных результатах исследовательской работы.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8. </w:t>
      </w:r>
      <w:r w:rsidRPr="00DE53F1">
        <w:rPr>
          <w:rFonts w:ascii="Times New Roman" w:hAnsi="Times New Roman" w:cs="Times New Roman"/>
          <w:b/>
          <w:sz w:val="28"/>
          <w:szCs w:val="28"/>
        </w:rPr>
        <w:t>Методы исследования</w:t>
      </w:r>
      <w:r w:rsidRPr="00DE53F1">
        <w:rPr>
          <w:rFonts w:ascii="Times New Roman" w:hAnsi="Times New Roman" w:cs="Times New Roman"/>
          <w:sz w:val="28"/>
          <w:szCs w:val="28"/>
        </w:rPr>
        <w:t xml:space="preserve"> подразделяются на общенаучные, частные и специальные. Во </w:t>
      </w:r>
      <w:r w:rsidRPr="00DE53F1">
        <w:rPr>
          <w:rFonts w:ascii="Times New Roman" w:hAnsi="Times New Roman" w:cs="Times New Roman"/>
          <w:b/>
          <w:sz w:val="28"/>
          <w:szCs w:val="28"/>
        </w:rPr>
        <w:t>Введении</w:t>
      </w:r>
      <w:r w:rsidRPr="00DE53F1">
        <w:rPr>
          <w:rFonts w:ascii="Times New Roman" w:hAnsi="Times New Roman" w:cs="Times New Roman"/>
          <w:sz w:val="28"/>
          <w:szCs w:val="28"/>
        </w:rPr>
        <w:t xml:space="preserve"> работы приводятся, как правило, частные и специальные методы.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9. </w:t>
      </w:r>
      <w:r w:rsidRPr="00DE53F1">
        <w:rPr>
          <w:rFonts w:ascii="Times New Roman" w:hAnsi="Times New Roman" w:cs="Times New Roman"/>
          <w:b/>
          <w:sz w:val="28"/>
          <w:szCs w:val="28"/>
        </w:rPr>
        <w:t>Материал исследования</w:t>
      </w:r>
      <w:r w:rsidRPr="00DE53F1">
        <w:rPr>
          <w:rFonts w:ascii="Times New Roman" w:hAnsi="Times New Roman" w:cs="Times New Roman"/>
          <w:sz w:val="28"/>
          <w:szCs w:val="28"/>
        </w:rPr>
        <w:t xml:space="preserve"> – это изучаемые источники.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53F1">
        <w:rPr>
          <w:rFonts w:ascii="Times New Roman" w:hAnsi="Times New Roman" w:cs="Times New Roman"/>
          <w:bCs/>
          <w:sz w:val="28"/>
          <w:szCs w:val="28"/>
        </w:rPr>
        <w:t>Письменный источник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53F1">
        <w:rPr>
          <w:rFonts w:ascii="Times New Roman" w:hAnsi="Times New Roman" w:cs="Times New Roman"/>
          <w:bCs/>
          <w:sz w:val="28"/>
          <w:szCs w:val="28"/>
        </w:rPr>
        <w:t xml:space="preserve">– это текст (документ), созданный в определенную историческую эпоху и в той или иной степени отражающий особенности, свойственные этой эпохе.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 xml:space="preserve">Главный источник – это Священное Писание. При упоминании его в качестве материала исследования необходимо указывать, какое издание используется (например, Материалом исследования является Священное Писание Нового Завета в Синодальном переводе). Другие источники: творения Святых Отцов (с указанием перевода и издания, по которому проводится исследование), церковные летописи (хроники), деяния Вселенских и поместных соборов, агиографические памятники (мученические акты, жития святых тоже с указанием перевода и издания, в котором они опубликованы), </w:t>
      </w:r>
      <w:proofErr w:type="spellStart"/>
      <w:r w:rsidRPr="00DE53F1">
        <w:rPr>
          <w:rFonts w:ascii="Times New Roman" w:hAnsi="Times New Roman" w:cs="Times New Roman"/>
          <w:bCs/>
          <w:sz w:val="28"/>
          <w:szCs w:val="28"/>
        </w:rPr>
        <w:t>евхологии</w:t>
      </w:r>
      <w:proofErr w:type="spellEnd"/>
      <w:r w:rsidRPr="00DE53F1">
        <w:rPr>
          <w:rFonts w:ascii="Times New Roman" w:hAnsi="Times New Roman" w:cs="Times New Roman"/>
          <w:bCs/>
          <w:sz w:val="28"/>
          <w:szCs w:val="28"/>
        </w:rPr>
        <w:t xml:space="preserve"> (т.е. сборники молитв, в первую очередь </w:t>
      </w:r>
      <w:proofErr w:type="spellStart"/>
      <w:r w:rsidRPr="00DE53F1">
        <w:rPr>
          <w:rFonts w:ascii="Times New Roman" w:hAnsi="Times New Roman" w:cs="Times New Roman"/>
          <w:bCs/>
          <w:sz w:val="28"/>
          <w:szCs w:val="28"/>
        </w:rPr>
        <w:t>чинопоследования</w:t>
      </w:r>
      <w:proofErr w:type="spellEnd"/>
      <w:r w:rsidRPr="00DE53F1">
        <w:rPr>
          <w:rFonts w:ascii="Times New Roman" w:hAnsi="Times New Roman" w:cs="Times New Roman"/>
          <w:bCs/>
          <w:sz w:val="28"/>
          <w:szCs w:val="28"/>
        </w:rPr>
        <w:t xml:space="preserve"> литургий и Таинств), </w:t>
      </w:r>
      <w:proofErr w:type="spellStart"/>
      <w:r w:rsidRPr="00DE53F1">
        <w:rPr>
          <w:rFonts w:ascii="Times New Roman" w:hAnsi="Times New Roman" w:cs="Times New Roman"/>
          <w:bCs/>
          <w:sz w:val="28"/>
          <w:szCs w:val="28"/>
        </w:rPr>
        <w:t>гимнографические</w:t>
      </w:r>
      <w:proofErr w:type="spellEnd"/>
      <w:r w:rsidRPr="00DE53F1">
        <w:rPr>
          <w:rFonts w:ascii="Times New Roman" w:hAnsi="Times New Roman" w:cs="Times New Roman"/>
          <w:bCs/>
          <w:sz w:val="28"/>
          <w:szCs w:val="28"/>
        </w:rPr>
        <w:t xml:space="preserve"> тексты (церковные песнопения, в частности, древние каноны), </w:t>
      </w:r>
      <w:proofErr w:type="spellStart"/>
      <w:r w:rsidRPr="00DE53F1">
        <w:rPr>
          <w:rFonts w:ascii="Times New Roman" w:hAnsi="Times New Roman" w:cs="Times New Roman"/>
          <w:bCs/>
          <w:sz w:val="28"/>
          <w:szCs w:val="28"/>
        </w:rPr>
        <w:t>лекционарии</w:t>
      </w:r>
      <w:proofErr w:type="spellEnd"/>
      <w:r w:rsidRPr="00DE53F1">
        <w:rPr>
          <w:rFonts w:ascii="Times New Roman" w:hAnsi="Times New Roman" w:cs="Times New Roman"/>
          <w:bCs/>
          <w:sz w:val="28"/>
          <w:szCs w:val="28"/>
        </w:rPr>
        <w:t xml:space="preserve"> (сборники ежедневных богослужебных чтений, в первую очередь библейских, но также и святоотеческих), типиконы (сборники богослужебных уставов и богослужебных указаний, монастырские уставы).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Cs/>
          <w:sz w:val="28"/>
          <w:szCs w:val="28"/>
        </w:rPr>
        <w:t>10. Материалом исследования не является научно-богословская литература по теме.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11. </w:t>
      </w:r>
      <w:r w:rsidRPr="00DE53F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r w:rsidRPr="00DE53F1">
        <w:rPr>
          <w:rFonts w:ascii="Times New Roman" w:hAnsi="Times New Roman" w:cs="Times New Roman"/>
          <w:sz w:val="28"/>
          <w:szCs w:val="28"/>
        </w:rPr>
        <w:t xml:space="preserve"> курсовой работы делится на параграфы (не менее 3), выпускной работы – на главы (две – три) и части глав. Параграфы и части глав соотносятся с задачами, сформулированными во </w:t>
      </w:r>
      <w:r w:rsidRPr="00DE53F1">
        <w:rPr>
          <w:rFonts w:ascii="Times New Roman" w:hAnsi="Times New Roman" w:cs="Times New Roman"/>
          <w:b/>
          <w:sz w:val="28"/>
          <w:szCs w:val="28"/>
        </w:rPr>
        <w:t>Введении</w:t>
      </w:r>
      <w:r w:rsidRPr="00DE53F1">
        <w:rPr>
          <w:rFonts w:ascii="Times New Roman" w:hAnsi="Times New Roman" w:cs="Times New Roman"/>
          <w:sz w:val="28"/>
          <w:szCs w:val="28"/>
        </w:rPr>
        <w:t xml:space="preserve">. Каждый параграф и глава заканчиваются выводами, который резюмирует изложенное содержание, а также показывает решение конкретной задачи, поставленной во </w:t>
      </w:r>
      <w:r w:rsidRPr="00DE53F1">
        <w:rPr>
          <w:rFonts w:ascii="Times New Roman" w:hAnsi="Times New Roman" w:cs="Times New Roman"/>
          <w:b/>
          <w:sz w:val="28"/>
          <w:szCs w:val="28"/>
        </w:rPr>
        <w:t>Введении</w:t>
      </w:r>
      <w:r w:rsidRPr="00DE53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12. Работа должна включать элементы исследования, а также собственный анализ и систематизацию фактического материала. Не допускается выполнение работы на основе компиляции либо пересказа использованных источников и научной литературы.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13. В </w:t>
      </w:r>
      <w:r w:rsidRPr="00DE53F1">
        <w:rPr>
          <w:rFonts w:ascii="Times New Roman" w:hAnsi="Times New Roman" w:cs="Times New Roman"/>
          <w:b/>
          <w:sz w:val="28"/>
          <w:szCs w:val="28"/>
        </w:rPr>
        <w:t>Заключении</w:t>
      </w:r>
      <w:r w:rsidRPr="00DE53F1">
        <w:rPr>
          <w:rFonts w:ascii="Times New Roman" w:hAnsi="Times New Roman" w:cs="Times New Roman"/>
          <w:sz w:val="28"/>
          <w:szCs w:val="28"/>
        </w:rPr>
        <w:t xml:space="preserve"> (3 – 4 страницы для курсовой работы, 3 – 5 страниц для выпускной работы) даются общие выводы по теме работы в соответствии с поставленными задачами, а также оценивается степень достижения цели, выдвинутой во </w:t>
      </w:r>
      <w:r w:rsidRPr="00DE53F1">
        <w:rPr>
          <w:rFonts w:ascii="Times New Roman" w:hAnsi="Times New Roman" w:cs="Times New Roman"/>
          <w:b/>
          <w:sz w:val="28"/>
          <w:szCs w:val="28"/>
        </w:rPr>
        <w:t>Введении</w:t>
      </w:r>
      <w:r w:rsidRPr="00DE53F1">
        <w:rPr>
          <w:rFonts w:ascii="Times New Roman" w:hAnsi="Times New Roman" w:cs="Times New Roman"/>
          <w:sz w:val="28"/>
          <w:szCs w:val="28"/>
        </w:rPr>
        <w:t xml:space="preserve">. </w:t>
      </w:r>
      <w:r w:rsidRPr="00DE53F1">
        <w:rPr>
          <w:rFonts w:ascii="Times New Roman" w:hAnsi="Times New Roman" w:cs="Times New Roman"/>
          <w:bCs/>
          <w:sz w:val="28"/>
          <w:szCs w:val="28"/>
        </w:rPr>
        <w:t xml:space="preserve">Выводы должны резюмировать выводы по главам, опираясь на частные результаты, нужно делать обобщения с точки зрения </w:t>
      </w:r>
      <w:r w:rsidRPr="00DE53F1">
        <w:rPr>
          <w:rFonts w:ascii="Times New Roman" w:hAnsi="Times New Roman" w:cs="Times New Roman"/>
          <w:bCs/>
          <w:sz w:val="28"/>
          <w:szCs w:val="28"/>
        </w:rPr>
        <w:lastRenderedPageBreak/>
        <w:t>поставленной цели.</w:t>
      </w:r>
      <w:r w:rsidRPr="00DE53F1">
        <w:rPr>
          <w:rFonts w:ascii="Times New Roman" w:hAnsi="Times New Roman" w:cs="Times New Roman"/>
          <w:sz w:val="28"/>
          <w:szCs w:val="28"/>
        </w:rPr>
        <w:t xml:space="preserve"> Выводы должны содержать новую информацию, полученную в результате исследования, отражать научную новизну, теоретическую значимость и практическую ценность работы.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14. </w:t>
      </w:r>
      <w:r w:rsidRPr="00DE53F1">
        <w:rPr>
          <w:rFonts w:ascii="Times New Roman" w:hAnsi="Times New Roman" w:cs="Times New Roman"/>
          <w:b/>
          <w:sz w:val="28"/>
          <w:szCs w:val="28"/>
        </w:rPr>
        <w:t xml:space="preserve">Список литературы </w:t>
      </w:r>
      <w:r w:rsidRPr="00DE53F1">
        <w:rPr>
          <w:rFonts w:ascii="Times New Roman" w:hAnsi="Times New Roman" w:cs="Times New Roman"/>
          <w:sz w:val="28"/>
          <w:szCs w:val="28"/>
        </w:rPr>
        <w:t xml:space="preserve">должен содержать наименования не менее 20–30 наименований для курсовой работы и не менее 50 наименований для выпускной работы. На каждое наименование должна быть хотя бы одна ссылка в тексте работы.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15. Наименования в </w:t>
      </w:r>
      <w:r w:rsidRPr="00DE53F1">
        <w:rPr>
          <w:rFonts w:ascii="Times New Roman" w:hAnsi="Times New Roman" w:cs="Times New Roman"/>
          <w:b/>
          <w:sz w:val="28"/>
          <w:szCs w:val="28"/>
        </w:rPr>
        <w:t xml:space="preserve">Списке литературы </w:t>
      </w:r>
      <w:r w:rsidRPr="00DE53F1">
        <w:rPr>
          <w:rFonts w:ascii="Times New Roman" w:hAnsi="Times New Roman" w:cs="Times New Roman"/>
          <w:sz w:val="28"/>
          <w:szCs w:val="28"/>
        </w:rPr>
        <w:t xml:space="preserve">группируются следующим образом: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литература на русском языке, затем литература на иностранных языках;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в каждой группе сначала помещаются библиографические описания трудов Отцов и учителей Церкви, затем прочая литература.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16. В каждой группе библиографические описания располагаются в алфавитном порядке. Нумерация всего </w:t>
      </w:r>
      <w:r w:rsidRPr="00DE53F1">
        <w:rPr>
          <w:rFonts w:ascii="Times New Roman" w:hAnsi="Times New Roman" w:cs="Times New Roman"/>
          <w:b/>
          <w:sz w:val="28"/>
          <w:szCs w:val="28"/>
        </w:rPr>
        <w:t xml:space="preserve">Списка литературы </w:t>
      </w:r>
      <w:r w:rsidRPr="00DE53F1">
        <w:rPr>
          <w:rFonts w:ascii="Times New Roman" w:hAnsi="Times New Roman" w:cs="Times New Roman"/>
          <w:sz w:val="28"/>
          <w:szCs w:val="28"/>
        </w:rPr>
        <w:t xml:space="preserve">сквозная. Библиографическое описание выполняется согласно ГОСТ 7.1-2003 и ГОСТ Р 7.0.5-2008 (образцы см. в разделе </w:t>
      </w:r>
      <w:r w:rsidRPr="00DE53F1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DE53F1">
        <w:rPr>
          <w:rFonts w:ascii="Times New Roman" w:hAnsi="Times New Roman" w:cs="Times New Roman"/>
          <w:sz w:val="28"/>
          <w:szCs w:val="28"/>
        </w:rPr>
        <w:t>).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17. </w:t>
      </w:r>
      <w:r w:rsidRPr="00DE53F1">
        <w:rPr>
          <w:b/>
          <w:sz w:val="28"/>
          <w:szCs w:val="28"/>
        </w:rPr>
        <w:t>Приложение</w:t>
      </w:r>
      <w:r w:rsidRPr="00DE53F1">
        <w:rPr>
          <w:sz w:val="28"/>
          <w:szCs w:val="28"/>
        </w:rPr>
        <w:t xml:space="preserve"> включает исследовательский, иллюстративный материал, который выносится за пределы основного текста во избежание его излишней перегрузки. Объем </w:t>
      </w:r>
      <w:r w:rsidRPr="00DE53F1">
        <w:rPr>
          <w:b/>
          <w:sz w:val="28"/>
          <w:szCs w:val="28"/>
        </w:rPr>
        <w:t>Приложения</w:t>
      </w:r>
      <w:r w:rsidRPr="00DE53F1">
        <w:rPr>
          <w:sz w:val="28"/>
          <w:szCs w:val="28"/>
        </w:rPr>
        <w:t xml:space="preserve"> не включается в обязательное количество страниц курсовой работы. Если </w:t>
      </w:r>
      <w:r w:rsidRPr="00DE53F1">
        <w:rPr>
          <w:b/>
          <w:sz w:val="28"/>
          <w:szCs w:val="28"/>
        </w:rPr>
        <w:t xml:space="preserve">Приложений </w:t>
      </w:r>
      <w:r w:rsidRPr="00DE53F1">
        <w:rPr>
          <w:sz w:val="28"/>
          <w:szCs w:val="28"/>
        </w:rPr>
        <w:t xml:space="preserve">несколько, они нумеруются и располагаются в порядке появления ссылок на них в тексте (например, см. Приложение 1). Каждое </w:t>
      </w:r>
      <w:r w:rsidRPr="00DE53F1">
        <w:rPr>
          <w:b/>
          <w:sz w:val="28"/>
          <w:szCs w:val="28"/>
        </w:rPr>
        <w:t>Приложение</w:t>
      </w:r>
      <w:r w:rsidRPr="00DE53F1">
        <w:rPr>
          <w:sz w:val="28"/>
          <w:szCs w:val="28"/>
        </w:rPr>
        <w:t xml:space="preserve"> должно иметь свое название.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DE53F1">
        <w:rPr>
          <w:b/>
          <w:sz w:val="28"/>
          <w:szCs w:val="28"/>
          <w:lang w:val="en-US"/>
        </w:rPr>
        <w:t>V</w:t>
      </w:r>
      <w:r w:rsidRPr="00DE53F1">
        <w:rPr>
          <w:b/>
          <w:sz w:val="28"/>
          <w:szCs w:val="28"/>
        </w:rPr>
        <w:t>. Техническое оформление курсовой и выпускной квалификационной работы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1. Оформление текста: 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печать на одной стороне листа формата A4;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поля страницы стандартные (левое – 3 см, правое – 1,5 см, нижнее – 2 см, верхнее – 2 см); 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выравнивание по ширине;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междустрочный интервал – 1,5; 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абзац – 1,25 (устанавливается с помощью опции Формат – Абзац – Первая строка – Отступ); 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DE53F1">
        <w:rPr>
          <w:sz w:val="28"/>
          <w:szCs w:val="28"/>
        </w:rPr>
        <w:t>шрифт</w:t>
      </w:r>
      <w:r w:rsidRPr="00DE53F1">
        <w:rPr>
          <w:sz w:val="28"/>
          <w:szCs w:val="28"/>
          <w:lang w:val="en-US"/>
        </w:rPr>
        <w:t xml:space="preserve"> – Times New Roman, </w:t>
      </w:r>
      <w:r w:rsidRPr="00DE53F1">
        <w:rPr>
          <w:sz w:val="28"/>
          <w:szCs w:val="28"/>
        </w:rPr>
        <w:t>размер</w:t>
      </w:r>
      <w:r w:rsidRPr="00DE53F1">
        <w:rPr>
          <w:sz w:val="28"/>
          <w:szCs w:val="28"/>
          <w:lang w:val="en-US"/>
        </w:rPr>
        <w:t xml:space="preserve"> </w:t>
      </w:r>
      <w:r w:rsidRPr="00DE53F1">
        <w:rPr>
          <w:sz w:val="28"/>
          <w:szCs w:val="28"/>
        </w:rPr>
        <w:t>шрифта</w:t>
      </w:r>
      <w:r w:rsidRPr="00DE53F1">
        <w:rPr>
          <w:sz w:val="28"/>
          <w:szCs w:val="28"/>
          <w:lang w:val="en-US"/>
        </w:rPr>
        <w:t xml:space="preserve"> – 14;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заголовки глав и параграфов оформляются полужирным шрифтом с выравниванием по центру без переносов и без точки в конце заголовка; заголовки глав выпускной работы набираются заглавными буквами;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главы нумеруются римскими цифрами, части глав и параграфы – арабскими цифрами;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главы выпускной работы и параграфы курсовой работы начинаются с новой страницы, нумерация и название частей работы должны совпадать с нумерацией и названиями в оглавлении или содержании;</w:t>
      </w:r>
    </w:p>
    <w:p w:rsidR="007C29F9" w:rsidRPr="00DE53F1" w:rsidRDefault="007C29F9" w:rsidP="007C29F9">
      <w:pPr>
        <w:pStyle w:val="a9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lastRenderedPageBreak/>
        <w:t xml:space="preserve">для передачи греческого языка используется панель Вставка – Символ, для передачи древнерусских букв – стандартный шрифт </w:t>
      </w:r>
      <w:proofErr w:type="spellStart"/>
      <w:r w:rsidRPr="00DE53F1">
        <w:rPr>
          <w:sz w:val="28"/>
          <w:szCs w:val="28"/>
        </w:rPr>
        <w:t>Lucida</w:t>
      </w:r>
      <w:proofErr w:type="spellEnd"/>
      <w:r w:rsidRPr="00DE53F1">
        <w:rPr>
          <w:sz w:val="28"/>
          <w:szCs w:val="28"/>
        </w:rPr>
        <w:t xml:space="preserve"> </w:t>
      </w:r>
      <w:proofErr w:type="spellStart"/>
      <w:r w:rsidRPr="00DE53F1">
        <w:rPr>
          <w:sz w:val="28"/>
          <w:szCs w:val="28"/>
        </w:rPr>
        <w:t>Sans</w:t>
      </w:r>
      <w:proofErr w:type="spellEnd"/>
      <w:r w:rsidRPr="00DE53F1">
        <w:rPr>
          <w:sz w:val="28"/>
          <w:szCs w:val="28"/>
        </w:rPr>
        <w:t xml:space="preserve"> </w:t>
      </w:r>
      <w:proofErr w:type="spellStart"/>
      <w:r w:rsidRPr="00DE53F1">
        <w:rPr>
          <w:sz w:val="28"/>
          <w:szCs w:val="28"/>
        </w:rPr>
        <w:t>Unicode</w:t>
      </w:r>
      <w:proofErr w:type="spellEnd"/>
      <w:r w:rsidRPr="00DE53F1">
        <w:rPr>
          <w:sz w:val="28"/>
          <w:szCs w:val="28"/>
        </w:rPr>
        <w:t>, в наборе символов которого есть ять, фита и юсы.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2. Оформление ссылок:</w:t>
      </w:r>
    </w:p>
    <w:p w:rsidR="007C29F9" w:rsidRPr="00DE53F1" w:rsidRDefault="007C29F9" w:rsidP="007C29F9">
      <w:pPr>
        <w:pStyle w:val="a9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ссылки должны быть оформлены в виде квадратных скобок в тексте работы после цитаты с отсылкой к </w:t>
      </w:r>
      <w:r w:rsidRPr="00DE53F1">
        <w:rPr>
          <w:b/>
          <w:sz w:val="28"/>
          <w:szCs w:val="28"/>
        </w:rPr>
        <w:t>Списку литературы</w:t>
      </w:r>
      <w:r w:rsidRPr="00DE53F1">
        <w:rPr>
          <w:sz w:val="28"/>
          <w:szCs w:val="28"/>
        </w:rPr>
        <w:t xml:space="preserve">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 xml:space="preserve">: [5, с. 25], где 5 – это номер использованного источника в </w:t>
      </w:r>
      <w:r w:rsidRPr="00DE53F1">
        <w:rPr>
          <w:b/>
          <w:sz w:val="28"/>
          <w:szCs w:val="28"/>
        </w:rPr>
        <w:t>Списке литературы</w:t>
      </w:r>
      <w:r w:rsidRPr="00DE53F1">
        <w:rPr>
          <w:sz w:val="28"/>
          <w:szCs w:val="28"/>
        </w:rPr>
        <w:t>, а с. 25 – номер страницы источника. При повторной ссылке на один и тот же источник на той же странице работы пишется [Там же, с. 27];</w:t>
      </w:r>
    </w:p>
    <w:p w:rsidR="007C29F9" w:rsidRPr="00DE53F1" w:rsidRDefault="007C29F9" w:rsidP="007C29F9">
      <w:pPr>
        <w:pStyle w:val="a9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если текст цитируется не по первоисточнику, а по другому изданию, то ссылку следует начинать словами [Цит. по:]. Например, [Цит. по: 5, с. 25]; </w:t>
      </w:r>
    </w:p>
    <w:p w:rsidR="007C29F9" w:rsidRPr="00DE53F1" w:rsidRDefault="007C29F9" w:rsidP="007C29F9">
      <w:pPr>
        <w:pStyle w:val="a9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при цитировании Священного Писания ссылка указывается после цитаты в круглых скобках. Сокращения названий книг Библии даны в оглавлении Ветхого и Нового Завета. Например, (Мф. 5: 4–11).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3. Нумерация страниц:</w:t>
      </w:r>
    </w:p>
    <w:p w:rsidR="007C29F9" w:rsidRPr="00DE53F1" w:rsidRDefault="007C29F9" w:rsidP="007C29F9">
      <w:pPr>
        <w:pStyle w:val="a9"/>
        <w:numPr>
          <w:ilvl w:val="0"/>
          <w:numId w:val="8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страницы работы нумеруются арабскими цифрами автоматически (Вставка – Номера страниц – Положение: внизу страницы, Выравнивание: справа);</w:t>
      </w:r>
    </w:p>
    <w:p w:rsidR="007C29F9" w:rsidRPr="00DE53F1" w:rsidRDefault="007C29F9" w:rsidP="007C29F9">
      <w:pPr>
        <w:pStyle w:val="a9"/>
        <w:numPr>
          <w:ilvl w:val="0"/>
          <w:numId w:val="8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нумерация начинается с титульного листа, но номер страницы на титульном листе не ставится (Вставка – Номера страниц – убрать галочку с позиции Номер на первой странице или поставить галочку Особый колонтитул на первой странице).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29F9">
        <w:rPr>
          <w:sz w:val="28"/>
          <w:szCs w:val="28"/>
        </w:rPr>
        <w:t>4</w:t>
      </w:r>
      <w:r w:rsidRPr="00DE53F1">
        <w:rPr>
          <w:sz w:val="28"/>
          <w:szCs w:val="28"/>
        </w:rPr>
        <w:t>. Образец оформления титульного листа выпускной квалификационной работы:</w:t>
      </w:r>
    </w:p>
    <w:p w:rsidR="007C29F9" w:rsidRPr="00DE53F1" w:rsidRDefault="007C29F9" w:rsidP="007C29F9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</w:pPr>
      <w:r w:rsidRPr="00DE53F1">
        <w:rPr>
          <w:rFonts w:ascii="Times New Roman" w:hAnsi="Times New Roman" w:cs="Times New Roman"/>
          <w:sz w:val="28"/>
          <w:szCs w:val="28"/>
        </w:rPr>
        <w:br w:type="page"/>
      </w:r>
      <w:r w:rsidRPr="00DE53F1">
        <w:rPr>
          <w:rStyle w:val="ab"/>
          <w:rFonts w:ascii="Times New Roman" w:hAnsi="Times New Roman" w:cs="Times New Roman"/>
          <w:caps/>
          <w:sz w:val="28"/>
          <w:szCs w:val="28"/>
          <w:bdr w:val="none" w:sz="0" w:space="0" w:color="auto" w:frame="1"/>
          <w:shd w:val="clear" w:color="auto" w:fill="FFFFFF"/>
        </w:rPr>
        <w:lastRenderedPageBreak/>
        <w:t>Религиозная организация</w:t>
      </w:r>
      <w:r w:rsidRPr="00DE53F1">
        <w:rPr>
          <w:rStyle w:val="apple-converted-space"/>
          <w:rFonts w:ascii="Times New Roman" w:hAnsi="Times New Roman" w:cs="Times New Roman"/>
          <w:cap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E53F1">
        <w:rPr>
          <w:rFonts w:ascii="Times New Roman" w:hAnsi="Times New Roman" w:cs="Times New Roman"/>
          <w:b/>
          <w:bCs/>
          <w:caps/>
          <w:sz w:val="28"/>
          <w:szCs w:val="28"/>
          <w:bdr w:val="none" w:sz="0" w:space="0" w:color="auto" w:frame="1"/>
        </w:rPr>
        <w:t>– духовная образовательная организация высшего образования</w:t>
      </w:r>
    </w:p>
    <w:p w:rsidR="007C29F9" w:rsidRPr="00DE53F1" w:rsidRDefault="007C29F9" w:rsidP="007C29F9">
      <w:pPr>
        <w:pStyle w:val="a9"/>
        <w:spacing w:before="0" w:beforeAutospacing="0" w:after="0" w:afterAutospacing="0"/>
        <w:jc w:val="center"/>
        <w:rPr>
          <w:rStyle w:val="ab"/>
          <w:caps/>
          <w:sz w:val="28"/>
          <w:szCs w:val="28"/>
          <w:bdr w:val="none" w:sz="0" w:space="0" w:color="auto" w:frame="1"/>
        </w:rPr>
      </w:pPr>
      <w:r w:rsidRPr="00DE53F1">
        <w:rPr>
          <w:rStyle w:val="ab"/>
          <w:caps/>
          <w:sz w:val="28"/>
          <w:szCs w:val="28"/>
          <w:bdr w:val="none" w:sz="0" w:space="0" w:color="auto" w:frame="1"/>
        </w:rPr>
        <w:t>«Смоленская Православная Духовная Семинария</w:t>
      </w:r>
    </w:p>
    <w:p w:rsidR="007C29F9" w:rsidRPr="00DE53F1" w:rsidRDefault="007C29F9" w:rsidP="007C29F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DE53F1">
        <w:rPr>
          <w:rStyle w:val="ab"/>
          <w:caps/>
          <w:sz w:val="28"/>
          <w:szCs w:val="28"/>
          <w:bdr w:val="none" w:sz="0" w:space="0" w:color="auto" w:frame="1"/>
        </w:rPr>
        <w:t>Смоленской Епархии Русской Православной Церкви»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E53F1">
        <w:rPr>
          <w:b/>
          <w:sz w:val="28"/>
          <w:szCs w:val="28"/>
        </w:rPr>
        <w:t>Кафедра богословских и церковно-исторических дисциплин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widowControl w:val="0"/>
        <w:tabs>
          <w:tab w:val="left" w:leader="underscore" w:pos="10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mallCaps/>
          <w:sz w:val="28"/>
          <w:szCs w:val="28"/>
        </w:rPr>
      </w:pPr>
      <w:r w:rsidRPr="00DE53F1">
        <w:rPr>
          <w:rFonts w:ascii="Times New Roman" w:hAnsi="Times New Roman" w:cs="Times New Roman"/>
          <w:bCs/>
          <w:smallCaps/>
          <w:sz w:val="28"/>
          <w:szCs w:val="28"/>
        </w:rPr>
        <w:t>направление «Теология» (православная теология)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proofErr w:type="spellStart"/>
      <w:r w:rsidRPr="00DE53F1">
        <w:rPr>
          <w:bCs/>
          <w:smallCaps/>
          <w:sz w:val="28"/>
          <w:szCs w:val="28"/>
        </w:rPr>
        <w:t>бакалавриат</w:t>
      </w:r>
      <w:proofErr w:type="spellEnd"/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E53F1">
        <w:rPr>
          <w:b/>
          <w:sz w:val="28"/>
          <w:szCs w:val="28"/>
        </w:rPr>
        <w:t xml:space="preserve">КАТЕХИЗИЧЕСКАЯ И ПРОСВЕТИТЕЛЬСКАЯ РАБОТА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E53F1">
        <w:rPr>
          <w:b/>
          <w:sz w:val="28"/>
          <w:szCs w:val="28"/>
        </w:rPr>
        <w:t>С СЕМЬЕЙ В СОЦИАЛЬНОЙ ЦЕРКОВНОЙ ДЕЯТЕЛЬНОСТИ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E53F1">
        <w:rPr>
          <w:sz w:val="28"/>
          <w:szCs w:val="28"/>
        </w:rPr>
        <w:t>выпускная квалификационная работа по дисциплине</w:t>
      </w:r>
    </w:p>
    <w:p w:rsidR="007C29F9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E53F1">
        <w:rPr>
          <w:sz w:val="28"/>
          <w:szCs w:val="28"/>
        </w:rPr>
        <w:t xml:space="preserve">«Основы организации и ведения образовательной деятельности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E53F1">
        <w:rPr>
          <w:sz w:val="28"/>
          <w:szCs w:val="28"/>
        </w:rPr>
        <w:t>на приходе»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Выполнил студент </w:t>
      </w:r>
      <w:r w:rsidRPr="00DE53F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E53F1">
        <w:rPr>
          <w:rFonts w:ascii="Times New Roman" w:hAnsi="Times New Roman" w:cs="Times New Roman"/>
          <w:sz w:val="28"/>
          <w:szCs w:val="28"/>
        </w:rPr>
        <w:t xml:space="preserve"> курса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очного отделения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Мельников А.Н. 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Урбанович Л.Н.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кандидат педагогических наук 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Научный консультант: </w:t>
      </w:r>
    </w:p>
    <w:p w:rsidR="007C29F9" w:rsidRPr="00DE53F1" w:rsidRDefault="007C29F9" w:rsidP="007C29F9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игумен 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Тарасий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Ланге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>)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5670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5670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Рецензент: Зыбина Т.М.,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5670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доктор педагогических наук,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5670"/>
        <w:jc w:val="both"/>
        <w:rPr>
          <w:sz w:val="28"/>
          <w:szCs w:val="28"/>
        </w:rPr>
      </w:pPr>
      <w:r w:rsidRPr="00DE53F1">
        <w:rPr>
          <w:sz w:val="28"/>
          <w:szCs w:val="28"/>
        </w:rPr>
        <w:t xml:space="preserve">профессор 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5670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E53F1">
        <w:rPr>
          <w:sz w:val="28"/>
          <w:szCs w:val="28"/>
        </w:rPr>
        <w:t>Смоленск – 2015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br w:type="page"/>
      </w:r>
      <w:r w:rsidRPr="00DE53F1">
        <w:rPr>
          <w:sz w:val="28"/>
          <w:szCs w:val="28"/>
        </w:rPr>
        <w:lastRenderedPageBreak/>
        <w:t>7. Образец оформления оглавления выпускной квалификационной работы: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8518"/>
        <w:gridCol w:w="827"/>
      </w:tblGrid>
      <w:tr w:rsidR="007C29F9" w:rsidRPr="00DE53F1" w:rsidTr="006742D7">
        <w:tc>
          <w:tcPr>
            <w:tcW w:w="9737" w:type="dxa"/>
            <w:gridSpan w:val="2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ОГЛАВЛЕНИЕ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ИСТОРИКО-ТЕОРЕТИЧЕСКИЕ ОСНОВЫ ДУХОВНОГО ПОПЕЧЕНИЯ О СЕМЬЕ В СОЦИАЛЬНОЙ ЦЕРКОВНОЙ ДЕЯТЕЛЬНОСТИ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1.1. Духовное попечение о семье в катехизической практике Древней Церкви 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1.2. Позиция Русской Православной Церкви в вопросе пастырского попечения о семье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Выводы по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ОПЫТ КАТЕХИЗИЧЕСКО-ПРОСВЕТИТЕЛЬСКОЙ РАБОТЫ С СЕМЬЕЙ В СОВРЕМЕННЫХ УСЛОВИЯХ РУССКОЙ ПРАВОСЛАВНОЙ ЦЕРКВИ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2.1. Опыт организации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предвенчальной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катехизации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в различных епархиях РПЦ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2.2. Духовно-просветительская работа с семьей как особое церковное социальное служение 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Выводы по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главе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7C29F9" w:rsidRPr="00DE53F1" w:rsidTr="006742D7">
        <w:tc>
          <w:tcPr>
            <w:tcW w:w="8887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Cs/>
                <w:sz w:val="28"/>
                <w:szCs w:val="28"/>
              </w:rPr>
              <w:t>Список литературы</w:t>
            </w:r>
          </w:p>
        </w:tc>
        <w:tc>
          <w:tcPr>
            <w:tcW w:w="850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</w:tbl>
    <w:p w:rsidR="007C29F9" w:rsidRPr="00DE53F1" w:rsidRDefault="007C29F9" w:rsidP="007C29F9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bCs/>
          <w:iCs/>
          <w:sz w:val="28"/>
          <w:szCs w:val="28"/>
        </w:rPr>
      </w:pPr>
      <w:r w:rsidRPr="00DE53F1">
        <w:rPr>
          <w:sz w:val="28"/>
          <w:szCs w:val="28"/>
        </w:rPr>
        <w:br w:type="page"/>
      </w:r>
      <w:r>
        <w:rPr>
          <w:b/>
          <w:sz w:val="28"/>
          <w:szCs w:val="28"/>
          <w:lang w:val="en-US"/>
        </w:rPr>
        <w:lastRenderedPageBreak/>
        <w:t>V</w:t>
      </w:r>
      <w:r w:rsidRPr="00DE53F1">
        <w:rPr>
          <w:b/>
          <w:sz w:val="28"/>
          <w:szCs w:val="28"/>
        </w:rPr>
        <w:t xml:space="preserve">. </w:t>
      </w:r>
      <w:r w:rsidRPr="00DE53F1">
        <w:rPr>
          <w:b/>
          <w:bCs/>
          <w:iCs/>
          <w:sz w:val="28"/>
          <w:szCs w:val="28"/>
        </w:rPr>
        <w:t>Правила библиографического описания документов в Списке литературы.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center"/>
        <w:rPr>
          <w:b/>
          <w:bCs/>
          <w:iCs/>
          <w:sz w:val="28"/>
          <w:szCs w:val="28"/>
        </w:rPr>
      </w:pPr>
      <w:r w:rsidRPr="00DE53F1">
        <w:rPr>
          <w:b/>
          <w:bCs/>
          <w:iCs/>
          <w:sz w:val="28"/>
          <w:szCs w:val="28"/>
        </w:rPr>
        <w:t>Правила оформления отдельных элементов работы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1. Библиографическое описание в списке литературы – совокупность библиографических сведений о произведении или его части, дающих возможность идентифицировать произведение. Предметом описания может быть книга (в целом) или совокупность нескольких книг (многотомное издание), статья в книге, в выпуске периодического или продолжающегося издания, отчёт о научно-исследовательской работе, диссертация, стандарты, патенты, конструкторская, проектная и другая техническая документация.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2. Сведения о документе приводятся согласно ГОСТ 7.1-2003 и ГОСТ Р 7.0.5-2008.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3. </w:t>
      </w:r>
      <w:r w:rsidRPr="00DE53F1">
        <w:rPr>
          <w:sz w:val="28"/>
          <w:szCs w:val="28"/>
        </w:rPr>
        <w:t xml:space="preserve">Правила составления библиографического описания могут быть представлены следующим образом: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bCs/>
          <w:sz w:val="28"/>
          <w:szCs w:val="28"/>
        </w:rPr>
        <w:t xml:space="preserve">Автор </w:t>
      </w:r>
      <w:r w:rsidRPr="00DE53F1">
        <w:rPr>
          <w:rFonts w:ascii="Times New Roman" w:hAnsi="Times New Roman" w:cs="Times New Roman"/>
          <w:sz w:val="28"/>
          <w:szCs w:val="28"/>
        </w:rPr>
        <w:t>(фамилия, инициалы); точка. Если произведение написано двумя или тремя авторами, они перечисляются через запятую. Если произведение написано четырьмя авторами и более, то указывают лишь первого, а вместо фамилий остальных авторов ставят «и др.».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bCs/>
          <w:sz w:val="28"/>
          <w:szCs w:val="28"/>
        </w:rPr>
        <w:t>Название произведения</w:t>
      </w:r>
      <w:r w:rsidRPr="00DE53F1">
        <w:rPr>
          <w:rFonts w:ascii="Times New Roman" w:hAnsi="Times New Roman" w:cs="Times New Roman"/>
          <w:sz w:val="28"/>
          <w:szCs w:val="28"/>
        </w:rPr>
        <w:t xml:space="preserve"> – без сокращений и без кавычек; двоеточие. 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Подзаглавие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 xml:space="preserve"> – также без кавычек, точка.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bCs/>
          <w:sz w:val="28"/>
          <w:szCs w:val="28"/>
        </w:rPr>
        <w:t xml:space="preserve">Выходные данные </w:t>
      </w:r>
      <w:r w:rsidRPr="00DE53F1">
        <w:rPr>
          <w:rFonts w:ascii="Times New Roman" w:hAnsi="Times New Roman" w:cs="Times New Roman"/>
          <w:sz w:val="28"/>
          <w:szCs w:val="28"/>
        </w:rPr>
        <w:t xml:space="preserve">(место издания, издательство, год издания) оформляются следующим образом: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место издания – с прописной буквы. Москва и Санкт-Петербург сокращенно М., СПб., двоеточие; другие города – полностью: Смоленск, двоеточие;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наименование издательства без кавычек с прописной буквы, запятая; слово «Издательство» может быть приведено в сокращении «Изд-во» или опущено, запятая;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– год издания (слово «год» не пишется ни полностью, ни сокращенно); точка;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– страницы – число страниц (цифра), далее буква «с» строчная; точка.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4. Инициалы автора ставятся после фамилии, заглавие цитируемой работы даётся без кавычек. Название статьи из сборника и журнала приводится также без кавычек и отделяется от заголовка двумя косыми чертами (//). Далее приводится место и год издания, для журналов – номер и год издания. Если на </w:t>
      </w:r>
      <w:r w:rsidRPr="00DE53F1">
        <w:rPr>
          <w:rFonts w:ascii="Times New Roman" w:hAnsi="Times New Roman" w:cs="Times New Roman"/>
          <w:i/>
          <w:iCs/>
          <w:sz w:val="28"/>
          <w:szCs w:val="28"/>
        </w:rPr>
        <w:t>титульном листе</w:t>
      </w:r>
      <w:r w:rsidRPr="00DE53F1">
        <w:rPr>
          <w:rFonts w:ascii="Times New Roman" w:hAnsi="Times New Roman" w:cs="Times New Roman"/>
          <w:sz w:val="28"/>
          <w:szCs w:val="28"/>
        </w:rPr>
        <w:t xml:space="preserve"> книги отсутствует фамилия автора, то запись данных о книге начинается с её названия, после чего указывается инициалы и фамилия редактора (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>: отв. ред. Е.А. Земская или: под ред. Л.А. Новикова), далее проставляются все остальные элементы, как и для книг с указанием фамилии автора.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53F1">
        <w:rPr>
          <w:rFonts w:ascii="Times New Roman" w:hAnsi="Times New Roman" w:cs="Times New Roman"/>
          <w:b/>
          <w:bCs/>
          <w:sz w:val="28"/>
          <w:szCs w:val="28"/>
        </w:rPr>
        <w:t>Примеры оформления библиографического описания в Списке литературы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088"/>
      </w:tblGrid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Труды Святых Отцов, Учителей Церкви, лиц в священном сане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Однотомное издание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1) Филарет (Дроздов),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свт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Толкование на книгу Бытия. М.: Лепта-Пресс, 2004. 860 с.</w:t>
            </w:r>
          </w:p>
          <w:p w:rsidR="007C29F9" w:rsidRPr="00DE53F1" w:rsidRDefault="007C29F9" w:rsidP="00674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2) </w:t>
            </w:r>
            <w:proofErr w:type="spellStart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Иерофей</w:t>
            </w:r>
            <w:proofErr w:type="spellEnd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Влахос</w:t>
            </w:r>
            <w:proofErr w:type="spellEnd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), митр.</w:t>
            </w:r>
            <w:r w:rsidRPr="00DE53F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Господские праздники. Симферополь: Таврия, 2002. 170 с.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3) Иоанн (Шаховской), </w:t>
            </w:r>
            <w:proofErr w:type="spellStart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архиеп</w:t>
            </w:r>
            <w:proofErr w:type="spellEnd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.</w:t>
            </w:r>
            <w:r w:rsidRPr="00DE53F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Философия православного пастырства. СПб., 1996.</w:t>
            </w:r>
            <w:r w:rsidRPr="00DE53F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80 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2. Том из многотомного издания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1) Иоанн Златоуст,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свт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Беседы на книгу Бытия // Иоанн Златоуст,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свт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Полное собрание творений. В 12 т. Т.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Кн. 1. М.: Радонеж, 1994. 430 с.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2) Давыденков О., </w:t>
            </w:r>
            <w:proofErr w:type="spellStart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свящ</w:t>
            </w:r>
            <w:proofErr w:type="spellEnd"/>
            <w:r w:rsidRPr="00DE53F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.</w:t>
            </w:r>
            <w:r w:rsidRPr="00DE53F1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Догматическое богословие. Курс лекций. В 3 ч. Ч. 3. М., 1997. 292 с.</w:t>
            </w:r>
          </w:p>
        </w:tc>
      </w:tr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Издания других авторов</w:t>
            </w:r>
          </w:p>
        </w:tc>
      </w:tr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Однотомные издания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1. Книги одного, двух или трёх авторов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7C29F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Вербицкая Л.А. Давайте говорить правильно. М.: Высшая школа, 1993. 144 с.</w:t>
            </w:r>
          </w:p>
          <w:p w:rsidR="007C29F9" w:rsidRPr="00DE53F1" w:rsidRDefault="007C29F9" w:rsidP="007C29F9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Горбаневский М.В., Караулов Ю.Н.,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Шаклин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В.М. Не говори шершавым языком. М.: Наука, 1999. 215 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2. Книги четырёх или более авторов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7C29F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Речевое общение: Искусство убеждать / Н.В.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Анисина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, Е.В.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Ганапольская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, Л.В. Степанова, Л.П.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Стычишина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СПб.: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СПбГТУ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, 2000. 129 с.</w:t>
            </w:r>
          </w:p>
          <w:p w:rsidR="007C29F9" w:rsidRPr="00DE53F1" w:rsidRDefault="007C29F9" w:rsidP="007C29F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и культура речи: Учебник / В.И. Максимов, Н.В. Казаринова, Н.Р.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Барабанова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и др.; под ред. проф. В.И. Максимова. М.: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Гардарики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, 2000. 411.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3. Издания, не имеющие индивидуальных авторов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конца </w:t>
            </w:r>
            <w:r w:rsidRPr="00DE53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столетия (1985-1995 гг.) / отв. ред. Е.А. Земская. М.: Наука, 1996. 203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4. Переводные издания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Белнап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П.,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Стил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Т. Логика вопросов и ответов: Пер. с англ. М.: Прогресс, 1981. 112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5. Сборники научных трудов, статей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1) Лексические и грамматические инновации: Сб.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научн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тр.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Латв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гос. ун-та. Рига, 1982. 166 с.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2) Книгоиздательский бизнес: Сб. статей. М., 1993. 120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6. Диссертация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Брынская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О.П. Основные черты американской риторики новейшего времени: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дис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... канд. филос. наук. М., 1979. 210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7. Автореферат диссертации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Анисина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Н.В. Методика обучения студентов </w:t>
            </w:r>
            <w:proofErr w:type="gram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негуманитарных  вузов</w:t>
            </w:r>
            <w:proofErr w:type="gram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созданию научного текста: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автореф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дис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…канд. педагог. наук. СПб., 2002. 18 с.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8. Словари, справочники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Максимов В.И.,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Одеков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Р.В. Учебный словарь-справочник русских грамматических терминов (с английскими эквивалентами). СПб.: Златоуст, 1998. 304 с.</w:t>
            </w:r>
          </w:p>
        </w:tc>
      </w:tr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Многотомные издания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Издание в целом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7C29F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Аристотель. Соч.: В 4 т. М.: Прогресс, 1976–1984. </w:t>
            </w:r>
          </w:p>
          <w:p w:rsidR="007C29F9" w:rsidRPr="00DE53F1" w:rsidRDefault="007C29F9" w:rsidP="007C29F9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Русская грамматика: В 2 т. М.: Наука, 1980. 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2. Отдельный 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7C29F9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Аристотель. Соч.: В 4 т. Т. 1. М.: Прогресс, 1976. 215 с.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2) Русская грамматика: В 2 т. Т. 1. М.: Наука, 1980. 793 с.</w:t>
            </w:r>
          </w:p>
        </w:tc>
      </w:tr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Составная часть издания (глава, раздел, статья и т.д.)</w:t>
            </w:r>
          </w:p>
        </w:tc>
      </w:tr>
      <w:tr w:rsidR="007C29F9" w:rsidRPr="00DE53F1" w:rsidTr="006742D7">
        <w:trPr>
          <w:trHeight w:val="8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1. Из книги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Скворцов Л.И. Просторечные и жаргонные элементы в парламентских выступлениях // Культура парламентской речи. М., 1994. С. 103–113.</w:t>
            </w:r>
          </w:p>
        </w:tc>
      </w:tr>
      <w:tr w:rsidR="007C29F9" w:rsidRPr="00DE53F1" w:rsidTr="006742D7">
        <w:trPr>
          <w:trHeight w:val="8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2. Из трудов, учёных записок и т.д.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Акуленко В.В. Две заметки об интернациональной лексике и терминологии // Уч.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зап.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Харьк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ун-та. Харьков, 1962. Т. 116. С. 205–213.</w:t>
            </w:r>
          </w:p>
        </w:tc>
      </w:tr>
      <w:tr w:rsidR="007C29F9" w:rsidRPr="00DE53F1" w:rsidTr="006742D7">
        <w:trPr>
          <w:trHeight w:val="8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3.Из материалов конференций, симпозиумов, семинаров и т.д.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Саморуков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Б.Е. Введение в творчество // Высокие интеллектуальные технологии образования и науки: Тез.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докл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. научно-метод.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конф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31 янв. – 1 февр. 1995. СПб., 1995. С. 102–103.</w:t>
            </w:r>
          </w:p>
        </w:tc>
      </w:tr>
      <w:tr w:rsidR="007C29F9" w:rsidRPr="00DE53F1" w:rsidTr="006742D7">
        <w:trPr>
          <w:trHeight w:val="8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4. Из журнала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Поварнин С.И. Спор. О теории и практике спора // Вопросы философии. 1990. № 3. С. 63–90.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5. Из газеты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pStyle w:val="a5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Сердобольский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О.В. В штате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Публички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– электронный библиограф // Санкт-Петербургские ведомости. 2001. 2 июня.</w:t>
            </w:r>
          </w:p>
        </w:tc>
      </w:tr>
      <w:tr w:rsidR="007C29F9" w:rsidRPr="00DE53F1" w:rsidTr="006742D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ресурсы, Интернет-ресурсы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1. Одна книга на диске, сборник книг на диске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Художественная энциклопедия зарубежного классического искусства [Электронный ресурс]. </w:t>
            </w:r>
            <w:proofErr w:type="gram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Большая Рос. </w:t>
            </w: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энцикл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. [и др.], 1996. 1 электрон. опт. диск (CD-ROM).</w:t>
            </w:r>
          </w:p>
        </w:tc>
      </w:tr>
      <w:tr w:rsidR="007C29F9" w:rsidRPr="00DE53F1" w:rsidTr="006742D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2. Интернет-ресурс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Болотов</w:t>
            </w:r>
            <w:proofErr w:type="spell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В.В. Лекции по истории Древней Церкви. Отдел первый. Христианство и мир языческий: борьба христианства с язычеством в жизни и мысли // Библиотека Якова Кротова: [сайт]. URL: </w:t>
            </w:r>
            <w:hyperlink r:id="rId7" w:history="1">
              <w:r w:rsidRPr="00DE53F1">
                <w:rPr>
                  <w:rStyle w:val="aa"/>
                  <w:rFonts w:ascii="Times New Roman" w:hAnsi="Times New Roman"/>
                  <w:sz w:val="28"/>
                  <w:szCs w:val="28"/>
                </w:rPr>
                <w:t>http://w\vw.krotov.info/history/Ol/3/bolotov 2_001.htm</w:t>
              </w:r>
            </w:hyperlink>
            <w:r w:rsidRPr="00DE53F1">
              <w:rPr>
                <w:rFonts w:ascii="Times New Roman" w:hAnsi="Times New Roman" w:cs="Times New Roman"/>
                <w:sz w:val="28"/>
                <w:szCs w:val="28"/>
              </w:rPr>
              <w:t xml:space="preserve"> (дата обращения: 03.07.2014).</w:t>
            </w:r>
          </w:p>
        </w:tc>
      </w:tr>
    </w:tbl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5. Оформление написания в тексте работы имен святых и лиц в священном сане: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чин святости святого, упоминаемого в тексте работы, приводится перед его именем (полностью или сокращенно),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 xml:space="preserve">: Блаженный Августин, 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свт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 xml:space="preserve">. Иоанн Златоуст или святитель Иоанн Златоуст, 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прп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 xml:space="preserve">. Серафим Саровский или преподобный Серафим Саровский;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для лиц в священном сане (не монашествующих) указывается сначала иерархическая степень (сан) без сокращений, затем имя, затем фамилия,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 xml:space="preserve">: протоиерей Владимир Башкиров, протоиерей Константин 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Польсков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>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lastRenderedPageBreak/>
        <w:t xml:space="preserve">– для монашествующих авторов указывают сначала иерархическую степень (сан) без сокращений, затем имя и только после этого фамилию в скобках,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>: епископ Михаил (</w:t>
      </w:r>
      <w:proofErr w:type="spellStart"/>
      <w:r w:rsidRPr="00DE53F1">
        <w:rPr>
          <w:rFonts w:ascii="Times New Roman" w:hAnsi="Times New Roman" w:cs="Times New Roman"/>
          <w:sz w:val="28"/>
          <w:szCs w:val="28"/>
        </w:rPr>
        <w:t>Мудьюгин</w:t>
      </w:r>
      <w:proofErr w:type="spellEnd"/>
      <w:r w:rsidRPr="00DE53F1">
        <w:rPr>
          <w:rFonts w:ascii="Times New Roman" w:hAnsi="Times New Roman" w:cs="Times New Roman"/>
          <w:sz w:val="28"/>
          <w:szCs w:val="28"/>
        </w:rPr>
        <w:t>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6. Употребление заглавной и строчной буквы.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E53F1">
        <w:rPr>
          <w:b/>
          <w:sz w:val="28"/>
          <w:szCs w:val="28"/>
          <w:lang w:val="ru-RU"/>
        </w:rPr>
        <w:t>Заглавная буква употребляется</w:t>
      </w:r>
      <w:r w:rsidRPr="00DE53F1">
        <w:rPr>
          <w:sz w:val="28"/>
          <w:szCs w:val="28"/>
          <w:lang w:val="ru-RU"/>
        </w:rPr>
        <w:t>: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именах лиц Святой Троицы и Божией Матери, при написании всех относящихся к Ним местоимений и некоторых событий,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>: Благовещение, Преображение, Сошествие во ад, Второе Пришествие, Воплощение</w:t>
      </w:r>
      <w:r w:rsidRPr="00DE53F1">
        <w:rPr>
          <w:sz w:val="28"/>
          <w:szCs w:val="28"/>
          <w:lang w:val="ru-RU"/>
        </w:rPr>
        <w:t>, Господь, Он, Его</w:t>
      </w:r>
      <w:r w:rsidRPr="00DE53F1">
        <w:rPr>
          <w:sz w:val="28"/>
          <w:szCs w:val="28"/>
        </w:rPr>
        <w:t>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терминах, применяемых для обозначения </w:t>
      </w:r>
      <w:r w:rsidRPr="00DE53F1">
        <w:rPr>
          <w:sz w:val="28"/>
          <w:szCs w:val="28"/>
          <w:lang w:val="ru-RU"/>
        </w:rPr>
        <w:t>с</w:t>
      </w:r>
      <w:proofErr w:type="spellStart"/>
      <w:r w:rsidRPr="00DE53F1">
        <w:rPr>
          <w:sz w:val="28"/>
          <w:szCs w:val="28"/>
        </w:rPr>
        <w:t>ущества</w:t>
      </w:r>
      <w:proofErr w:type="spellEnd"/>
      <w:r w:rsidRPr="00DE53F1">
        <w:rPr>
          <w:sz w:val="28"/>
          <w:szCs w:val="28"/>
        </w:rPr>
        <w:t xml:space="preserve"> и действий Бога и Божией Матери,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 xml:space="preserve">: Божественное Откровение, Искупление, </w:t>
      </w:r>
      <w:proofErr w:type="spellStart"/>
      <w:r w:rsidRPr="00DE53F1">
        <w:rPr>
          <w:sz w:val="28"/>
          <w:szCs w:val="28"/>
        </w:rPr>
        <w:t>Голгофская</w:t>
      </w:r>
      <w:proofErr w:type="spellEnd"/>
      <w:r w:rsidRPr="00DE53F1">
        <w:rPr>
          <w:sz w:val="28"/>
          <w:szCs w:val="28"/>
        </w:rPr>
        <w:t xml:space="preserve"> Жертва, Слово Божие и Премудрость Божия (Вторая Ипостась Святой Троицы), но</w:t>
      </w:r>
      <w:r w:rsidRPr="00DE53F1">
        <w:rPr>
          <w:sz w:val="28"/>
          <w:szCs w:val="28"/>
          <w:lang w:val="ru-RU"/>
        </w:rPr>
        <w:t>:</w:t>
      </w:r>
      <w:r w:rsidRPr="00DE53F1">
        <w:rPr>
          <w:sz w:val="28"/>
          <w:szCs w:val="28"/>
        </w:rPr>
        <w:t xml:space="preserve"> слово Божие (Священное Писание), премудрость Божия (свойство Бога), </w:t>
      </w:r>
      <w:proofErr w:type="spellStart"/>
      <w:r w:rsidRPr="00DE53F1">
        <w:rPr>
          <w:sz w:val="28"/>
          <w:szCs w:val="28"/>
        </w:rPr>
        <w:t>Приснодевство</w:t>
      </w:r>
      <w:proofErr w:type="spellEnd"/>
      <w:r w:rsidRPr="00DE53F1">
        <w:rPr>
          <w:sz w:val="28"/>
          <w:szCs w:val="28"/>
        </w:rPr>
        <w:t xml:space="preserve"> Богоматери, Божество и Человечество Христа;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названиях книг Священного Писания, а также в наименованиях,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>: Священное Писание, Библия, Ветхий Завет, Новый Завет, Евангелие, Божественное Откровение, Священное Предание, Послание, Никео-Цареградский Символ Веры;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наименованиях </w:t>
      </w:r>
      <w:r w:rsidRPr="00DE53F1">
        <w:rPr>
          <w:sz w:val="28"/>
          <w:szCs w:val="28"/>
          <w:lang w:val="ru-RU"/>
        </w:rPr>
        <w:t>Т</w:t>
      </w:r>
      <w:proofErr w:type="spellStart"/>
      <w:r w:rsidRPr="00DE53F1">
        <w:rPr>
          <w:sz w:val="28"/>
          <w:szCs w:val="28"/>
        </w:rPr>
        <w:t>аинств</w:t>
      </w:r>
      <w:proofErr w:type="spellEnd"/>
      <w:r w:rsidRPr="00DE53F1">
        <w:rPr>
          <w:sz w:val="28"/>
          <w:szCs w:val="28"/>
        </w:rPr>
        <w:t xml:space="preserve">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 xml:space="preserve">: </w:t>
      </w:r>
      <w:r w:rsidRPr="00DE53F1">
        <w:rPr>
          <w:sz w:val="28"/>
          <w:szCs w:val="28"/>
          <w:lang w:val="ru-RU"/>
        </w:rPr>
        <w:t>Т</w:t>
      </w:r>
      <w:proofErr w:type="spellStart"/>
      <w:r w:rsidRPr="00DE53F1">
        <w:rPr>
          <w:sz w:val="28"/>
          <w:szCs w:val="28"/>
        </w:rPr>
        <w:t>аинство</w:t>
      </w:r>
      <w:proofErr w:type="spellEnd"/>
      <w:r w:rsidRPr="00DE53F1">
        <w:rPr>
          <w:sz w:val="28"/>
          <w:szCs w:val="28"/>
        </w:rPr>
        <w:t xml:space="preserve"> Крещения, Евхаристия, </w:t>
      </w:r>
      <w:r w:rsidRPr="00DE53F1">
        <w:rPr>
          <w:sz w:val="28"/>
          <w:szCs w:val="28"/>
          <w:lang w:val="ru-RU"/>
        </w:rPr>
        <w:t xml:space="preserve">Таинство Причащения, </w:t>
      </w:r>
      <w:r w:rsidRPr="00DE53F1">
        <w:rPr>
          <w:sz w:val="28"/>
          <w:szCs w:val="28"/>
        </w:rPr>
        <w:t>Евхаристическая Жертва;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названиях постов с заглавной буквы пишется только первое слово,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>: Великий пост</w:t>
      </w:r>
      <w:r w:rsidRPr="00DE53F1">
        <w:rPr>
          <w:sz w:val="28"/>
          <w:szCs w:val="28"/>
          <w:lang w:val="ru-RU"/>
        </w:rPr>
        <w:t>, Успенский пост;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E53F1">
        <w:rPr>
          <w:sz w:val="28"/>
          <w:szCs w:val="28"/>
          <w:lang w:val="ru-RU"/>
        </w:rPr>
        <w:t>– в названиях храмов, например, Благовещенская церковь, храм Архангела Михаила;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E53F1">
        <w:rPr>
          <w:sz w:val="28"/>
          <w:szCs w:val="28"/>
          <w:lang w:val="ru-RU"/>
        </w:rPr>
        <w:t>– в наименовании титула архиерея, например, епископ Вяземский и Гагаринский;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DE53F1">
        <w:rPr>
          <w:sz w:val="28"/>
          <w:szCs w:val="28"/>
          <w:lang w:val="ru-RU"/>
        </w:rPr>
        <w:t>– в слове «Церковь», если имеется в виду Церковь Божия, Христианская Церковь в целом, Русская Православная Церковь.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b/>
          <w:sz w:val="28"/>
          <w:szCs w:val="28"/>
        </w:rPr>
        <w:t>Строчные буквы употребляются</w:t>
      </w:r>
      <w:r w:rsidRPr="00DE53F1">
        <w:rPr>
          <w:sz w:val="28"/>
          <w:szCs w:val="28"/>
        </w:rPr>
        <w:t>: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>в словах ангел, архангел, архистратиг, херувим, серафим, апостол, великомученик, преподобный, блаженный, исповедник, пророк, патриарх, кроме тех случаев, когда они по традиции вошли в состав собственного имени, например, «Иоанн Богослов», «Никита Исповедник», «Алексий Человек Божий»;</w:t>
      </w:r>
    </w:p>
    <w:p w:rsidR="007C29F9" w:rsidRPr="00DE53F1" w:rsidRDefault="007C29F9" w:rsidP="007C29F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  <w:lang w:val="ru-RU"/>
        </w:rPr>
        <w:t xml:space="preserve">– </w:t>
      </w:r>
      <w:r w:rsidRPr="00DE53F1">
        <w:rPr>
          <w:sz w:val="28"/>
          <w:szCs w:val="28"/>
        </w:rPr>
        <w:t xml:space="preserve">в литургических терминах, </w:t>
      </w:r>
      <w:proofErr w:type="gramStart"/>
      <w:r w:rsidRPr="00DE53F1">
        <w:rPr>
          <w:sz w:val="28"/>
          <w:szCs w:val="28"/>
        </w:rPr>
        <w:t>например</w:t>
      </w:r>
      <w:proofErr w:type="gramEnd"/>
      <w:r w:rsidRPr="00DE53F1">
        <w:rPr>
          <w:sz w:val="28"/>
          <w:szCs w:val="28"/>
        </w:rPr>
        <w:t>: литургия, проскомидия, молебен, панихида, акафист;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в названиях предметов богослужебного обихода,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>: дароносица, дискос, престол, кропило.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7. Оформление цитат. Общие требования к цитированию включают:</w:t>
      </w:r>
    </w:p>
    <w:p w:rsidR="007C29F9" w:rsidRPr="00DE53F1" w:rsidRDefault="007C29F9" w:rsidP="007C29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iCs/>
          <w:sz w:val="28"/>
          <w:szCs w:val="28"/>
        </w:rPr>
        <w:t>– точность</w:t>
      </w:r>
      <w:r w:rsidRPr="00DE53F1">
        <w:rPr>
          <w:rFonts w:ascii="Times New Roman" w:hAnsi="Times New Roman" w:cs="Times New Roman"/>
          <w:sz w:val="28"/>
          <w:szCs w:val="28"/>
        </w:rPr>
        <w:t>, сохранение особенностей авторского написания;</w:t>
      </w:r>
    </w:p>
    <w:p w:rsidR="007C29F9" w:rsidRPr="00DE53F1" w:rsidRDefault="007C29F9" w:rsidP="007C29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iCs/>
          <w:sz w:val="28"/>
          <w:szCs w:val="28"/>
        </w:rPr>
        <w:t>– полноту</w:t>
      </w:r>
      <w:r w:rsidRPr="00DE53F1">
        <w:rPr>
          <w:rFonts w:ascii="Times New Roman" w:hAnsi="Times New Roman" w:cs="Times New Roman"/>
          <w:sz w:val="28"/>
          <w:szCs w:val="28"/>
        </w:rPr>
        <w:t xml:space="preserve"> цитирования без произвольного сокращения текста и искажений мысли (пропуск фрагментов обозначается многоточием);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– обязательную </w:t>
      </w:r>
      <w:r w:rsidRPr="00DE53F1">
        <w:rPr>
          <w:rFonts w:ascii="Times New Roman" w:hAnsi="Times New Roman" w:cs="Times New Roman"/>
          <w:iCs/>
          <w:sz w:val="28"/>
          <w:szCs w:val="28"/>
        </w:rPr>
        <w:t>ссылку на цитируемый источник.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Pr="00DE53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53F1">
        <w:rPr>
          <w:rFonts w:ascii="Times New Roman" w:hAnsi="Times New Roman" w:cs="Times New Roman"/>
          <w:sz w:val="28"/>
          <w:szCs w:val="28"/>
        </w:rPr>
        <w:t xml:space="preserve">Цитирование может быть представлено в виде прямой или косвенной речи. Для </w:t>
      </w:r>
      <w:r w:rsidRPr="00DE53F1">
        <w:rPr>
          <w:rFonts w:ascii="Times New Roman" w:hAnsi="Times New Roman" w:cs="Times New Roman"/>
          <w:iCs/>
          <w:sz w:val="28"/>
          <w:szCs w:val="28"/>
        </w:rPr>
        <w:t>прямого цитирования</w:t>
      </w:r>
      <w:r w:rsidRPr="00DE53F1">
        <w:rPr>
          <w:rFonts w:ascii="Times New Roman" w:hAnsi="Times New Roman" w:cs="Times New Roman"/>
          <w:sz w:val="28"/>
          <w:szCs w:val="28"/>
        </w:rPr>
        <w:t xml:space="preserve"> могут быть использованы следующие 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формулы: А.А. Реформатский </w:t>
      </w:r>
      <w:proofErr w:type="gramStart"/>
      <w:r w:rsidRPr="00DE53F1">
        <w:rPr>
          <w:rFonts w:ascii="Times New Roman" w:hAnsi="Times New Roman" w:cs="Times New Roman"/>
          <w:iCs/>
          <w:sz w:val="28"/>
          <w:szCs w:val="28"/>
        </w:rPr>
        <w:t>сказал  (</w:t>
      </w:r>
      <w:proofErr w:type="gramEnd"/>
      <w:r w:rsidRPr="00DE53F1">
        <w:rPr>
          <w:rFonts w:ascii="Times New Roman" w:hAnsi="Times New Roman" w:cs="Times New Roman"/>
          <w:iCs/>
          <w:sz w:val="28"/>
          <w:szCs w:val="28"/>
        </w:rPr>
        <w:t xml:space="preserve">говорит, пишет, считает, доказывает, утверждает, предполагает, указывает </w:t>
      </w:r>
      <w:r w:rsidRPr="00DE53F1">
        <w:rPr>
          <w:rFonts w:ascii="Times New Roman" w:hAnsi="Times New Roman" w:cs="Times New Roman"/>
          <w:sz w:val="28"/>
          <w:szCs w:val="28"/>
        </w:rPr>
        <w:t xml:space="preserve"> и т. п.): «Ц…».  Цитата берётся в кавычки и начинается с прописной буквы.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При 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косвенном цитировании </w:t>
      </w:r>
      <w:r w:rsidRPr="00DE53F1">
        <w:rPr>
          <w:rFonts w:ascii="Times New Roman" w:hAnsi="Times New Roman" w:cs="Times New Roman"/>
          <w:sz w:val="28"/>
          <w:szCs w:val="28"/>
        </w:rPr>
        <w:t>цитата следует обычно за изъяснительным союзом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 «что» </w:t>
      </w:r>
      <w:r w:rsidRPr="00DE53F1">
        <w:rPr>
          <w:rFonts w:ascii="Times New Roman" w:hAnsi="Times New Roman" w:cs="Times New Roman"/>
          <w:sz w:val="28"/>
          <w:szCs w:val="28"/>
        </w:rPr>
        <w:t xml:space="preserve">и начинается со строчной буквы: </w:t>
      </w:r>
      <w:r w:rsidRPr="00DE53F1">
        <w:rPr>
          <w:rFonts w:ascii="Times New Roman" w:hAnsi="Times New Roman" w:cs="Times New Roman"/>
          <w:iCs/>
          <w:sz w:val="28"/>
          <w:szCs w:val="28"/>
        </w:rPr>
        <w:t>А.А. Реформатский считает, что «ц…».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9. </w:t>
      </w:r>
      <w:r w:rsidRPr="00DE53F1">
        <w:rPr>
          <w:rFonts w:ascii="Times New Roman" w:hAnsi="Times New Roman" w:cs="Times New Roman"/>
          <w:b/>
          <w:bCs/>
          <w:sz w:val="28"/>
          <w:szCs w:val="28"/>
        </w:rPr>
        <w:t xml:space="preserve">Схемы оформления цитат: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843"/>
        <w:gridCol w:w="1842"/>
        <w:gridCol w:w="1985"/>
        <w:gridCol w:w="1701"/>
      </w:tblGrid>
      <w:tr w:rsidR="007C29F9" w:rsidRPr="00DE53F1" w:rsidTr="006742D7"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Фраза цитируется полностью</w:t>
            </w:r>
          </w:p>
        </w:tc>
        <w:tc>
          <w:tcPr>
            <w:tcW w:w="1842" w:type="dxa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Пропущен фрагмент в начале цитаты</w:t>
            </w:r>
          </w:p>
        </w:tc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Пропущен фрагмент в середине цитаты</w:t>
            </w:r>
          </w:p>
        </w:tc>
        <w:tc>
          <w:tcPr>
            <w:tcW w:w="1701" w:type="dxa"/>
          </w:tcPr>
          <w:p w:rsidR="007C29F9" w:rsidRPr="00DE53F1" w:rsidRDefault="007C29F9" w:rsidP="00674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Пропущен фрагмент в конце цитаты</w:t>
            </w:r>
          </w:p>
        </w:tc>
      </w:tr>
      <w:tr w:rsidR="007C29F9" w:rsidRPr="00DE53F1" w:rsidTr="006742D7"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Цитата является самостоятельным предложением (не сопровождается словами автора)</w:t>
            </w:r>
          </w:p>
        </w:tc>
        <w:tc>
          <w:tcPr>
            <w:tcW w:w="1843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«Ц».</w:t>
            </w:r>
          </w:p>
        </w:tc>
        <w:tc>
          <w:tcPr>
            <w:tcW w:w="1842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«…Ц».</w:t>
            </w:r>
          </w:p>
        </w:tc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«Ц…ц».</w:t>
            </w:r>
          </w:p>
        </w:tc>
        <w:tc>
          <w:tcPr>
            <w:tcW w:w="1701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«Ц…».</w:t>
            </w:r>
          </w:p>
        </w:tc>
      </w:tr>
      <w:tr w:rsidR="007C29F9" w:rsidRPr="00DE53F1" w:rsidTr="006742D7"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Цитата оформляется как прямая речь</w:t>
            </w:r>
          </w:p>
        </w:tc>
        <w:tc>
          <w:tcPr>
            <w:tcW w:w="1843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«Ц», – а.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«Ц», – а.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«Ц, – а,– ц».</w:t>
            </w:r>
          </w:p>
        </w:tc>
        <w:tc>
          <w:tcPr>
            <w:tcW w:w="1842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«…Ц», – а.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«…ц».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«…ц», – а.</w:t>
            </w:r>
          </w:p>
        </w:tc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«Ц…ц», – а.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«Ц…ц».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«Ц…ц», – а.</w:t>
            </w:r>
          </w:p>
        </w:tc>
        <w:tc>
          <w:tcPr>
            <w:tcW w:w="1701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«Ц…», – а.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«Ц…».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А: «Ц…», – а.</w:t>
            </w:r>
          </w:p>
        </w:tc>
      </w:tr>
      <w:tr w:rsidR="007C29F9" w:rsidRPr="00DE53F1" w:rsidTr="006742D7"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Цитата синтаксически связана с авторским текстом</w:t>
            </w:r>
          </w:p>
        </w:tc>
        <w:tc>
          <w:tcPr>
            <w:tcW w:w="1843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 «ц».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А, что «ц».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«Ц», поскольку а.</w:t>
            </w:r>
          </w:p>
        </w:tc>
        <w:tc>
          <w:tcPr>
            <w:tcW w:w="1842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 «ц…ц».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А, что «…ц».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«…Ц», поскольку а.</w:t>
            </w:r>
          </w:p>
        </w:tc>
        <w:tc>
          <w:tcPr>
            <w:tcW w:w="1985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 «ц…ц»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А, что «ц…ц».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«Ц…ц», поскольку а.</w:t>
            </w:r>
          </w:p>
        </w:tc>
        <w:tc>
          <w:tcPr>
            <w:tcW w:w="1701" w:type="dxa"/>
          </w:tcPr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 «ц…».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А, что «</w:t>
            </w:r>
            <w:proofErr w:type="gramStart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ц….</w:t>
            </w:r>
            <w:proofErr w:type="gramEnd"/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7C29F9" w:rsidRPr="00DE53F1" w:rsidRDefault="007C29F9" w:rsidP="00674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sz w:val="28"/>
                <w:szCs w:val="28"/>
              </w:rPr>
              <w:t>«Ц…», поскольку а.</w:t>
            </w:r>
          </w:p>
        </w:tc>
      </w:tr>
    </w:tbl>
    <w:p w:rsidR="007C29F9" w:rsidRPr="00DE53F1" w:rsidRDefault="007C29F9" w:rsidP="007C2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10. Оформление таблиц, схем, диаграмм. Все таблицы, схемы, диаграммы включаются в работу автоматически (опции Вставка – Таблица, Вставка – Фигуры, Вставка – Диаграмма).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11. Все </w:t>
      </w:r>
      <w:r w:rsidRPr="00DE53F1">
        <w:rPr>
          <w:rFonts w:ascii="Times New Roman" w:hAnsi="Times New Roman" w:cs="Times New Roman"/>
          <w:iCs/>
          <w:sz w:val="28"/>
          <w:szCs w:val="28"/>
        </w:rPr>
        <w:t>таблицы, схемы, диаграммы</w:t>
      </w:r>
      <w:r w:rsidRPr="00DE53F1">
        <w:rPr>
          <w:rFonts w:ascii="Times New Roman" w:hAnsi="Times New Roman" w:cs="Times New Roman"/>
          <w:sz w:val="28"/>
          <w:szCs w:val="28"/>
        </w:rPr>
        <w:t xml:space="preserve"> должны иметь названия, отражающие их содержание, и порядковую нумерацию. Нумерация и название таблицы помещаются над таблицей, нумерация и название схем и диаграмм помещается под схемой и диаграммой.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bCs/>
          <w:sz w:val="28"/>
          <w:szCs w:val="28"/>
        </w:rPr>
        <w:t>Таблица 2</w:t>
      </w:r>
    </w:p>
    <w:p w:rsidR="007C29F9" w:rsidRPr="00DE53F1" w:rsidRDefault="007C29F9" w:rsidP="007C29F9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iCs/>
          <w:sz w:val="28"/>
          <w:szCs w:val="28"/>
        </w:rPr>
        <w:t>Образовательные исламские учреждения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3061"/>
        <w:gridCol w:w="3061"/>
      </w:tblGrid>
      <w:tr w:rsidR="007C29F9" w:rsidRPr="00DE53F1" w:rsidTr="006742D7">
        <w:tc>
          <w:tcPr>
            <w:tcW w:w="3379" w:type="dxa"/>
          </w:tcPr>
          <w:p w:rsidR="007C29F9" w:rsidRDefault="007C29F9" w:rsidP="006742D7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lastRenderedPageBreak/>
              <w:t xml:space="preserve">Наименование </w:t>
            </w:r>
          </w:p>
          <w:p w:rsidR="007C29F9" w:rsidRPr="00DE53F1" w:rsidRDefault="007C29F9" w:rsidP="006742D7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учреждения</w:t>
            </w:r>
          </w:p>
        </w:tc>
        <w:tc>
          <w:tcPr>
            <w:tcW w:w="3380" w:type="dxa"/>
          </w:tcPr>
          <w:p w:rsidR="007C29F9" w:rsidRPr="00DE53F1" w:rsidRDefault="007C29F9" w:rsidP="006742D7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…</w:t>
            </w:r>
          </w:p>
        </w:tc>
        <w:tc>
          <w:tcPr>
            <w:tcW w:w="3380" w:type="dxa"/>
          </w:tcPr>
          <w:p w:rsidR="007C29F9" w:rsidRPr="00DE53F1" w:rsidRDefault="007C29F9" w:rsidP="006742D7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DE53F1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…</w:t>
            </w:r>
          </w:p>
        </w:tc>
      </w:tr>
      <w:tr w:rsidR="007C29F9" w:rsidRPr="00DE53F1" w:rsidTr="006742D7">
        <w:tc>
          <w:tcPr>
            <w:tcW w:w="3379" w:type="dxa"/>
          </w:tcPr>
          <w:p w:rsidR="007C29F9" w:rsidRPr="00DE53F1" w:rsidRDefault="007C29F9" w:rsidP="006742D7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80" w:type="dxa"/>
          </w:tcPr>
          <w:p w:rsidR="007C29F9" w:rsidRPr="00DE53F1" w:rsidRDefault="007C29F9" w:rsidP="006742D7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80" w:type="dxa"/>
          </w:tcPr>
          <w:p w:rsidR="007C29F9" w:rsidRPr="00DE53F1" w:rsidRDefault="007C29F9" w:rsidP="006742D7">
            <w:pPr>
              <w:pStyle w:val="3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 w:rsidR="007C29F9" w:rsidRPr="00DE53F1" w:rsidRDefault="007C29F9" w:rsidP="007C29F9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6142A0" wp14:editId="0645B76A">
            <wp:extent cx="2728569" cy="1741017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sz w:val="28"/>
          <w:szCs w:val="28"/>
        </w:rPr>
        <w:t>Рисунок 1</w:t>
      </w:r>
      <w:r w:rsidRPr="00DE53F1">
        <w:rPr>
          <w:rFonts w:ascii="Times New Roman" w:hAnsi="Times New Roman" w:cs="Times New Roman"/>
          <w:sz w:val="28"/>
          <w:szCs w:val="28"/>
        </w:rPr>
        <w:t>. Распределение численности …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12. При оформлении таблиц нужно соблюдать правила использования в заголовках прописной (большой) и строчной (маленькой) букв.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sz w:val="28"/>
          <w:szCs w:val="28"/>
        </w:rPr>
        <w:t>С прописной буквы начинаются</w:t>
      </w:r>
      <w:r w:rsidRPr="00DE53F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слово «Таблица» в заголовке;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тематический заголовок (название таблицы);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основные заголовки граф;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подзаголовки граф, если они грамматически не связаны с главным заголовком;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заголовки строк.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b/>
          <w:sz w:val="28"/>
          <w:szCs w:val="28"/>
        </w:rPr>
        <w:t>Со строчной буквы начинаются</w:t>
      </w:r>
      <w:r w:rsidRPr="00DE53F1">
        <w:rPr>
          <w:rFonts w:ascii="Times New Roman" w:hAnsi="Times New Roman" w:cs="Times New Roman"/>
          <w:sz w:val="28"/>
          <w:szCs w:val="28"/>
        </w:rPr>
        <w:t>: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подзаголовки граф, если они грамматически связаны с главным заголовком (составляют с ним одно предложение);</w:t>
      </w:r>
    </w:p>
    <w:p w:rsidR="007C29F9" w:rsidRPr="00DE53F1" w:rsidRDefault="007C29F9" w:rsidP="007C29F9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элементы центральной части.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Знаки препинания после заголовков, подзаголовков и элементов центральной части </w:t>
      </w:r>
      <w:r w:rsidRPr="00DE53F1">
        <w:rPr>
          <w:rFonts w:ascii="Times New Roman" w:hAnsi="Times New Roman" w:cs="Times New Roman"/>
          <w:iCs/>
          <w:sz w:val="28"/>
          <w:szCs w:val="28"/>
        </w:rPr>
        <w:t>таблицы</w:t>
      </w:r>
      <w:r w:rsidRPr="00DE53F1">
        <w:rPr>
          <w:rFonts w:ascii="Times New Roman" w:hAnsi="Times New Roman" w:cs="Times New Roman"/>
          <w:sz w:val="28"/>
          <w:szCs w:val="28"/>
        </w:rPr>
        <w:t xml:space="preserve"> не ставятся.</w:t>
      </w:r>
    </w:p>
    <w:p w:rsidR="007C29F9" w:rsidRPr="00DE53F1" w:rsidRDefault="007C29F9" w:rsidP="007C2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13. В тексте работы делаются ссылки на </w:t>
      </w:r>
      <w:r w:rsidRPr="00DE53F1">
        <w:rPr>
          <w:rFonts w:ascii="Times New Roman" w:hAnsi="Times New Roman" w:cs="Times New Roman"/>
          <w:iCs/>
          <w:sz w:val="28"/>
          <w:szCs w:val="28"/>
        </w:rPr>
        <w:t>таблицы</w:t>
      </w:r>
      <w:r w:rsidRPr="00DE53F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>: «См. табл. 2» или «Данные приведены в табл. 2». «См. рис. 1» или «Данные приведены на рис. 1».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14. Оформление дат. В тексте работы века пишутся римскими цифрами, годы – арабскими.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15. Если в состав даты входит день месяца (число), месяц и год, указанные элементы могут иметь следующие варианты написания: </w:t>
      </w:r>
      <w:r w:rsidRPr="00DE53F1">
        <w:rPr>
          <w:rFonts w:ascii="Times New Roman" w:hAnsi="Times New Roman" w:cs="Times New Roman"/>
          <w:iCs/>
          <w:sz w:val="28"/>
          <w:szCs w:val="28"/>
        </w:rPr>
        <w:t>2 сентября 2003 г.; 2 сентября 2003 года.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16. Если обозначение даты в тексте состоит только из года, слово «год» пишется полностью</w:t>
      </w:r>
      <w:r w:rsidRPr="00DE53F1">
        <w:rPr>
          <w:rFonts w:ascii="Times New Roman" w:hAnsi="Times New Roman" w:cs="Times New Roman"/>
          <w:iCs/>
          <w:sz w:val="28"/>
          <w:szCs w:val="28"/>
        </w:rPr>
        <w:t>: задание на 2002 год, смета на 2002 год.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 xml:space="preserve">17. Если дата в тексте состоит из месяца и года, квартала и года, полугодия и года, то она имеет следующую форму написания: 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в апреле 2004 г.; в октябре – ноябре 2001 г.; в </w:t>
      </w:r>
      <w:r w:rsidRPr="00DE53F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 квартале 2002 г.; в </w:t>
      </w:r>
      <w:r w:rsidRPr="00DE53F1">
        <w:rPr>
          <w:rFonts w:ascii="Times New Roman" w:hAnsi="Times New Roman" w:cs="Times New Roman"/>
          <w:iCs/>
          <w:sz w:val="28"/>
          <w:szCs w:val="28"/>
          <w:lang w:val="en-US"/>
        </w:rPr>
        <w:t>III</w:t>
      </w:r>
      <w:r w:rsidRPr="00DE53F1">
        <w:rPr>
          <w:rFonts w:ascii="Times New Roman" w:hAnsi="Times New Roman" w:cs="Times New Roman"/>
          <w:iCs/>
          <w:sz w:val="28"/>
          <w:szCs w:val="28"/>
        </w:rPr>
        <w:t>–</w:t>
      </w:r>
      <w:r w:rsidRPr="00DE53F1">
        <w:rPr>
          <w:rFonts w:ascii="Times New Roman" w:hAnsi="Times New Roman" w:cs="Times New Roman"/>
          <w:iCs/>
          <w:sz w:val="28"/>
          <w:szCs w:val="28"/>
          <w:lang w:val="en-US"/>
        </w:rPr>
        <w:t>IV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 кварталах 2003 г.; в первом полугодии 2002 г.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lastRenderedPageBreak/>
        <w:t xml:space="preserve">18. Слова «год», «годы» сокращаются </w:t>
      </w:r>
      <w:r w:rsidRPr="00DE53F1">
        <w:rPr>
          <w:rFonts w:ascii="Times New Roman" w:hAnsi="Times New Roman" w:cs="Times New Roman"/>
          <w:iCs/>
          <w:sz w:val="28"/>
          <w:szCs w:val="28"/>
        </w:rPr>
        <w:t>(г., гг.)</w:t>
      </w:r>
      <w:r w:rsidRPr="00DE53F1">
        <w:rPr>
          <w:rFonts w:ascii="Times New Roman" w:hAnsi="Times New Roman" w:cs="Times New Roman"/>
          <w:sz w:val="28"/>
          <w:szCs w:val="28"/>
        </w:rPr>
        <w:t>, если они приведены в датах с обозначением месяца, квартала, полугодия.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19. Рекомендуется опускать слово «</w:t>
      </w:r>
      <w:proofErr w:type="gramStart"/>
      <w:r w:rsidRPr="00DE53F1">
        <w:rPr>
          <w:rFonts w:ascii="Times New Roman" w:hAnsi="Times New Roman" w:cs="Times New Roman"/>
          <w:sz w:val="28"/>
          <w:szCs w:val="28"/>
        </w:rPr>
        <w:t>год»  при</w:t>
      </w:r>
      <w:proofErr w:type="gramEnd"/>
      <w:r w:rsidRPr="00DE53F1">
        <w:rPr>
          <w:rFonts w:ascii="Times New Roman" w:hAnsi="Times New Roman" w:cs="Times New Roman"/>
          <w:sz w:val="28"/>
          <w:szCs w:val="28"/>
        </w:rPr>
        <w:t xml:space="preserve"> его цифровом обозначении, как правило, при датах в круглых скобках. Обычно это даты рождения, смерти, рождения и смерти рядом с именем какого-либо лица, дата создания или издания произведения</w:t>
      </w:r>
      <w:r w:rsidRPr="00DE53F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  <w:r w:rsidRPr="00DE53F1">
        <w:rPr>
          <w:rFonts w:ascii="Times New Roman" w:hAnsi="Times New Roman" w:cs="Times New Roman"/>
          <w:sz w:val="28"/>
          <w:szCs w:val="28"/>
        </w:rPr>
        <w:t>стоящая после его названия, дата исторического события и т.п.: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 работы И.М. Сеченова «Рефлексы головного мозга» (1863), «Кому и как разрабатывать психологию» (1873) и др.; Французская буржуазная революция (1789–1793).</w:t>
      </w:r>
    </w:p>
    <w:p w:rsidR="007C29F9" w:rsidRPr="00DE53F1" w:rsidRDefault="007C29F9" w:rsidP="007C29F9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53F1">
        <w:rPr>
          <w:rFonts w:ascii="Times New Roman" w:hAnsi="Times New Roman" w:cs="Times New Roman"/>
          <w:sz w:val="28"/>
          <w:szCs w:val="28"/>
        </w:rPr>
        <w:t>20. Календарные сроки в тексте пишутся таким образом:</w:t>
      </w:r>
      <w:r w:rsidRPr="00DE53F1">
        <w:rPr>
          <w:rFonts w:ascii="Times New Roman" w:hAnsi="Times New Roman" w:cs="Times New Roman"/>
          <w:iCs/>
          <w:sz w:val="28"/>
          <w:szCs w:val="28"/>
        </w:rPr>
        <w:t xml:space="preserve"> в октябре 1993 г., но: за 8 месяцев 1993 года, в 1995 году, с 1974 по 2001 год, в 1999–2002 годах.</w:t>
      </w:r>
    </w:p>
    <w:p w:rsidR="007C29F9" w:rsidRPr="00DE53F1" w:rsidRDefault="007C29F9" w:rsidP="007C29F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3F1">
        <w:rPr>
          <w:sz w:val="28"/>
          <w:szCs w:val="28"/>
        </w:rPr>
        <w:t>21. Написание десятилетий оформляется следующим образом</w:t>
      </w:r>
      <w:r w:rsidRPr="00DE53F1">
        <w:rPr>
          <w:iCs/>
          <w:sz w:val="28"/>
          <w:szCs w:val="28"/>
        </w:rPr>
        <w:t xml:space="preserve">: 90-е годы </w:t>
      </w:r>
      <w:r w:rsidRPr="00DE53F1">
        <w:rPr>
          <w:iCs/>
          <w:sz w:val="28"/>
          <w:szCs w:val="28"/>
          <w:lang w:val="en-US"/>
        </w:rPr>
        <w:t>XX</w:t>
      </w:r>
      <w:r w:rsidRPr="00DE53F1">
        <w:rPr>
          <w:iCs/>
          <w:sz w:val="28"/>
          <w:szCs w:val="28"/>
        </w:rPr>
        <w:t xml:space="preserve"> века; 70–80-е гг. прошлого столетия; 1950-е годы; 1920-е гг.; но: в 1860–80-е гг.; </w:t>
      </w:r>
      <w:r w:rsidRPr="00DE53F1">
        <w:rPr>
          <w:sz w:val="28"/>
          <w:szCs w:val="28"/>
        </w:rPr>
        <w:t>но:</w:t>
      </w:r>
      <w:r w:rsidRPr="00DE53F1">
        <w:rPr>
          <w:iCs/>
          <w:sz w:val="28"/>
          <w:szCs w:val="28"/>
        </w:rPr>
        <w:t xml:space="preserve"> в 1890–1910-е годы.</w:t>
      </w:r>
    </w:p>
    <w:p w:rsidR="007C29F9" w:rsidRPr="00DE53F1" w:rsidRDefault="007C29F9" w:rsidP="007C29F9">
      <w:pPr>
        <w:pStyle w:val="a3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396975" w:rsidRDefault="00396975"/>
    <w:sectPr w:rsidR="00396975" w:rsidSect="006E77F7"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A7D" w:rsidRDefault="00342A7D">
      <w:pPr>
        <w:spacing w:after="0" w:line="240" w:lineRule="auto"/>
      </w:pPr>
      <w:r>
        <w:separator/>
      </w:r>
    </w:p>
  </w:endnote>
  <w:endnote w:type="continuationSeparator" w:id="0">
    <w:p w:rsidR="00342A7D" w:rsidRDefault="0034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2B5" w:rsidRDefault="00CA36E0" w:rsidP="00DE53F1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902B5" w:rsidRDefault="00342A7D" w:rsidP="00DE53F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2B5" w:rsidRDefault="00342A7D" w:rsidP="00DE53F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A7D" w:rsidRDefault="00342A7D">
      <w:pPr>
        <w:spacing w:after="0" w:line="240" w:lineRule="auto"/>
      </w:pPr>
      <w:r>
        <w:separator/>
      </w:r>
    </w:p>
  </w:footnote>
  <w:footnote w:type="continuationSeparator" w:id="0">
    <w:p w:rsidR="00342A7D" w:rsidRDefault="0034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2B5" w:rsidRPr="00AB6348" w:rsidRDefault="00342A7D">
    <w:pPr>
      <w:pStyle w:val="ac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B75B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B0C426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22D1528A"/>
    <w:multiLevelType w:val="hybridMultilevel"/>
    <w:tmpl w:val="47949002"/>
    <w:lvl w:ilvl="0" w:tplc="B6209176">
      <w:start w:val="1"/>
      <w:numFmt w:val="bullet"/>
      <w:lvlText w:val=""/>
      <w:lvlJc w:val="left"/>
      <w:pPr>
        <w:tabs>
          <w:tab w:val="num" w:pos="1004"/>
        </w:tabs>
        <w:ind w:left="720" w:firstLine="68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E66D38"/>
    <w:multiLevelType w:val="hybridMultilevel"/>
    <w:tmpl w:val="9C5ABB2E"/>
    <w:lvl w:ilvl="0" w:tplc="B6209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5077D"/>
    <w:multiLevelType w:val="hybridMultilevel"/>
    <w:tmpl w:val="CBD6552E"/>
    <w:lvl w:ilvl="0" w:tplc="B6209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3718F"/>
    <w:multiLevelType w:val="hybridMultilevel"/>
    <w:tmpl w:val="84D8B7F4"/>
    <w:lvl w:ilvl="0" w:tplc="B6209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2201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6549784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6E3545BD"/>
    <w:multiLevelType w:val="singleLevel"/>
    <w:tmpl w:val="B62091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6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68"/>
    <w:rsid w:val="00342A7D"/>
    <w:rsid w:val="00396975"/>
    <w:rsid w:val="00790D7B"/>
    <w:rsid w:val="007C29F9"/>
    <w:rsid w:val="00A81668"/>
    <w:rsid w:val="00CA36E0"/>
    <w:rsid w:val="00DC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9E818C-EAB2-45C3-95C1-1F8D6B5B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9F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C3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7C29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29F9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ru-RU"/>
    </w:rPr>
  </w:style>
  <w:style w:type="paragraph" w:styleId="a3">
    <w:name w:val="No Spacing"/>
    <w:link w:val="a4"/>
    <w:uiPriority w:val="1"/>
    <w:qFormat/>
    <w:rsid w:val="007C29F9"/>
    <w:rPr>
      <w:rFonts w:ascii="Calibri" w:eastAsia="Times New Roman" w:hAnsi="Calibri"/>
      <w:sz w:val="22"/>
      <w:szCs w:val="22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7C29F9"/>
    <w:rPr>
      <w:rFonts w:ascii="Calibri" w:eastAsia="Times New Roman" w:hAnsi="Calibri"/>
      <w:sz w:val="22"/>
      <w:szCs w:val="22"/>
      <w:lang w:eastAsia="ru-RU"/>
    </w:rPr>
  </w:style>
  <w:style w:type="paragraph" w:styleId="a5">
    <w:name w:val="Body Text"/>
    <w:basedOn w:val="a"/>
    <w:link w:val="a6"/>
    <w:uiPriority w:val="99"/>
    <w:unhideWhenUsed/>
    <w:rsid w:val="007C29F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C29F9"/>
    <w:rPr>
      <w:rFonts w:asciiTheme="minorHAnsi" w:hAnsiTheme="minorHAnsi" w:cstheme="minorBidi"/>
      <w:sz w:val="22"/>
      <w:szCs w:val="22"/>
    </w:rPr>
  </w:style>
  <w:style w:type="paragraph" w:styleId="a7">
    <w:name w:val="footer"/>
    <w:basedOn w:val="a"/>
    <w:link w:val="a8"/>
    <w:rsid w:val="007C29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7C29F9"/>
    <w:rPr>
      <w:rFonts w:eastAsia="Times New Roman"/>
      <w:lang w:eastAsia="ru-RU"/>
    </w:rPr>
  </w:style>
  <w:style w:type="paragraph" w:styleId="a9">
    <w:name w:val="Normal (Web)"/>
    <w:basedOn w:val="a"/>
    <w:rsid w:val="007C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7C29F9"/>
    <w:rPr>
      <w:rFonts w:cs="Times New Roman"/>
      <w:color w:val="0000FF"/>
      <w:u w:val="single"/>
    </w:rPr>
  </w:style>
  <w:style w:type="character" w:styleId="ab">
    <w:name w:val="Strong"/>
    <w:basedOn w:val="a0"/>
    <w:uiPriority w:val="22"/>
    <w:qFormat/>
    <w:rsid w:val="007C29F9"/>
    <w:rPr>
      <w:b/>
      <w:bCs/>
    </w:rPr>
  </w:style>
  <w:style w:type="character" w:customStyle="1" w:styleId="apple-converted-space">
    <w:name w:val="apple-converted-space"/>
    <w:basedOn w:val="a0"/>
    <w:rsid w:val="007C29F9"/>
  </w:style>
  <w:style w:type="paragraph" w:styleId="ac">
    <w:name w:val="header"/>
    <w:basedOn w:val="a"/>
    <w:link w:val="ad"/>
    <w:uiPriority w:val="99"/>
    <w:unhideWhenUsed/>
    <w:rsid w:val="007C2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C29F9"/>
    <w:rPr>
      <w:rFonts w:asciiTheme="minorHAnsi" w:hAnsiTheme="minorHAnsi" w:cstheme="minorBidi"/>
      <w:sz w:val="22"/>
      <w:szCs w:val="22"/>
    </w:rPr>
  </w:style>
  <w:style w:type="character" w:styleId="ae">
    <w:name w:val="page number"/>
    <w:basedOn w:val="a0"/>
    <w:rsid w:val="007C29F9"/>
  </w:style>
  <w:style w:type="paragraph" w:styleId="2">
    <w:name w:val="Body Text 2"/>
    <w:basedOn w:val="a"/>
    <w:link w:val="20"/>
    <w:uiPriority w:val="99"/>
    <w:unhideWhenUsed/>
    <w:rsid w:val="007C29F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7C29F9"/>
    <w:rPr>
      <w:rFonts w:eastAsia="Times New Roman"/>
      <w:sz w:val="20"/>
      <w:szCs w:val="20"/>
      <w:lang w:val="x-none"/>
    </w:rPr>
  </w:style>
  <w:style w:type="paragraph" w:styleId="af">
    <w:name w:val="List Paragraph"/>
    <w:basedOn w:val="a"/>
    <w:uiPriority w:val="34"/>
    <w:qFormat/>
    <w:rsid w:val="00CA36E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C36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\vw.krotov.info/history/Ol/3/bolotov%202_001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9.3406593406593408E-2"/>
          <c:w val="0.64388489208633093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02-4A67-A9C1-B94199777E5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C02-4A67-A9C1-B94199777E5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63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C02-4A67-A9C1-B94199777E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04933368"/>
        <c:axId val="204932976"/>
        <c:axId val="0"/>
      </c:bar3DChart>
      <c:catAx>
        <c:axId val="204933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049329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4932976"/>
        <c:scaling>
          <c:orientation val="minMax"/>
        </c:scaling>
        <c:delete val="0"/>
        <c:axPos val="l"/>
        <c:majorGridlines>
          <c:spPr>
            <a:ln w="316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04933368"/>
        <c:crosses val="autoZero"/>
        <c:crossBetween val="between"/>
      </c:valAx>
      <c:spPr>
        <a:noFill/>
        <a:ln w="25277">
          <a:noFill/>
        </a:ln>
      </c:spPr>
    </c:plotArea>
    <c:legend>
      <c:legendPos val="r"/>
      <c:layout>
        <c:manualLayout>
          <c:xMode val="edge"/>
          <c:yMode val="edge"/>
          <c:x val="0.80575539568345322"/>
          <c:y val="0.34065934065934067"/>
          <c:w val="0.17985611510791366"/>
          <c:h val="0.3186813186813186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73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6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4534</Words>
  <Characters>25845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Матвеенкова</cp:lastModifiedBy>
  <cp:revision>4</cp:revision>
  <dcterms:created xsi:type="dcterms:W3CDTF">2016-09-30T08:10:00Z</dcterms:created>
  <dcterms:modified xsi:type="dcterms:W3CDTF">2016-10-11T04:31:00Z</dcterms:modified>
</cp:coreProperties>
</file>